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B32" w:rsidRPr="00B35B32" w:rsidRDefault="00B35B32" w:rsidP="00B35B32">
      <w:pPr>
        <w:spacing w:before="100" w:beforeAutospacing="1" w:after="100" w:afterAutospacing="1"/>
        <w:outlineLvl w:val="0"/>
        <w:divId w:val="1959675008"/>
        <w:rPr>
          <w:rFonts w:ascii="Helvetica" w:eastAsia="Times New Roman" w:hAnsi="Helvetica" w:cs="Times New Roman"/>
          <w:b/>
          <w:bCs/>
          <w:color w:val="6E9AA9"/>
          <w:kern w:val="36"/>
          <w:sz w:val="33"/>
          <w:szCs w:val="33"/>
        </w:rPr>
      </w:pPr>
      <w:r w:rsidRPr="00B35B32">
        <w:rPr>
          <w:rFonts w:ascii="Helvetica" w:eastAsia="Times New Roman" w:hAnsi="Helvetica" w:cs="Times New Roman"/>
          <w:b/>
          <w:bCs/>
          <w:color w:val="97999B"/>
          <w:kern w:val="36"/>
          <w:sz w:val="33"/>
          <w:szCs w:val="33"/>
        </w:rPr>
        <w:t>11.1</w:t>
      </w:r>
      <w:r w:rsidRPr="00B35B32">
        <w:rPr>
          <w:rFonts w:ascii="Helvetica" w:eastAsia="Times New Roman" w:hAnsi="Helvetica" w:cs="Times New Roman"/>
          <w:b/>
          <w:bCs/>
          <w:color w:val="6E9AA9"/>
          <w:kern w:val="36"/>
          <w:sz w:val="33"/>
          <w:szCs w:val="33"/>
        </w:rPr>
        <w:t> Organizational Design and Competitive Advantage</w:t>
      </w:r>
    </w:p>
    <w:p w:rsidR="00B35B32" w:rsidRPr="00B35B32" w:rsidRDefault="00B35B32" w:rsidP="00B35B32">
      <w:pPr>
        <w:spacing w:before="150" w:after="150" w:line="255" w:lineRule="atLeast"/>
        <w:divId w:val="2116710853"/>
        <w:rPr>
          <w:rFonts w:ascii="Helvetica" w:hAnsi="Helvetica" w:cs="Times New Roman"/>
          <w:color w:val="333333"/>
          <w:sz w:val="20"/>
          <w:szCs w:val="20"/>
        </w:rPr>
      </w:pPr>
      <w:r w:rsidRPr="00B35B32">
        <w:rPr>
          <w:rFonts w:ascii="Helvetica" w:hAnsi="Helvetica" w:cs="Times New Roman"/>
          <w:b/>
          <w:bCs/>
          <w:color w:val="333333"/>
          <w:sz w:val="20"/>
          <w:szCs w:val="20"/>
        </w:rPr>
        <w:t>Organizational design</w:t>
      </w:r>
      <w:r w:rsidRPr="00B35B32">
        <w:rPr>
          <w:rFonts w:ascii="Helvetica" w:hAnsi="Helvetica" w:cs="Times New Roman"/>
          <w:color w:val="333333"/>
          <w:sz w:val="20"/>
          <w:szCs w:val="20"/>
        </w:rPr>
        <w:t> is the process of creating, implementing, monitoring, and modifying the structure, processes, and procedures of an organization. The key components of organizational design are structure, culture, and control. The goal is to design an organization that allows managers to effectively translate their chosen strategy into a realized one.</w:t>
      </w:r>
    </w:p>
    <w:p w:rsidR="00B35B32" w:rsidRPr="00B35B32" w:rsidRDefault="00B35B32" w:rsidP="00B35B32">
      <w:pPr>
        <w:spacing w:before="150" w:after="150" w:line="255" w:lineRule="atLeast"/>
        <w:divId w:val="2116710853"/>
        <w:rPr>
          <w:rFonts w:ascii="Helvetica" w:hAnsi="Helvetica" w:cs="Times New Roman"/>
          <w:color w:val="333333"/>
          <w:sz w:val="20"/>
          <w:szCs w:val="20"/>
        </w:rPr>
      </w:pPr>
      <w:r w:rsidRPr="00B35B32">
        <w:rPr>
          <w:rFonts w:ascii="Helvetica" w:hAnsi="Helvetica" w:cs="Times New Roman"/>
          <w:color w:val="333333"/>
          <w:sz w:val="20"/>
          <w:szCs w:val="20"/>
        </w:rPr>
        <w:t>Not surprisingly, the inability to implement strategy effectively is the number-one reason boards of directors fire CEOs.5 Yahoo’s co-founder and CEO Jerry Yang was ousted in 2008 precisely because he failed to implement necessary strategic changes after Yahoo lost its competitive advantage.6 In the two years leading up to his exit, Yahoo lost more than 75 percent of its market value. Yang was described as someone who preferred consensus among his managers to making tough strategic decisions needed to change Yahoo’s structure. That preference, though, led to bickering and infighting. Yang’s failure to make the necessary changes to the Internet firm’s organizational structure led to a destruction of billions of dollars in shareholder value and thousands of layoffs. Once a leader in online search, Yahoo is struggling to make a comeback. A number of short-term and interim CEOs followed Yang without much success. Then in 2012, as detailed in ChapterCase 2, Yahoo tapped former Google executive Marissa Mayer as president and CEO; Mayer’s turnaround efforts hinge on improving the user experience to drive mobile advertising revenues. Such changes in strategy required changes in structure as well.</w:t>
      </w:r>
    </w:p>
    <w:p w:rsidR="00B35B32" w:rsidRPr="00B35B32" w:rsidRDefault="00B35B32" w:rsidP="00B35B32">
      <w:pPr>
        <w:shd w:val="clear" w:color="auto" w:fill="FFFFFF"/>
        <w:jc w:val="center"/>
        <w:divId w:val="4745993"/>
        <w:rPr>
          <w:rFonts w:ascii="Verdana" w:eastAsia="Times New Roman" w:hAnsi="Verdana" w:cs="Times New Roman"/>
          <w:color w:val="333333"/>
          <w:sz w:val="14"/>
          <w:szCs w:val="14"/>
        </w:rPr>
      </w:pPr>
      <w:r w:rsidRPr="00B35B32">
        <w:rPr>
          <w:rFonts w:ascii="Verdana" w:eastAsia="Times New Roman" w:hAnsi="Verdana" w:cs="Times New Roman"/>
          <w:color w:val="333333"/>
          <w:sz w:val="14"/>
          <w:szCs w:val="14"/>
        </w:rPr>
        <w:t>Page 368</w:t>
      </w:r>
    </w:p>
    <w:p w:rsidR="00B35B32" w:rsidRPr="00B35B32" w:rsidRDefault="00B35B32" w:rsidP="00B35B32">
      <w:pPr>
        <w:spacing w:before="150" w:after="150" w:line="255" w:lineRule="atLeast"/>
        <w:divId w:val="2116710853"/>
        <w:rPr>
          <w:rFonts w:ascii="Helvetica" w:hAnsi="Helvetica" w:cs="Times New Roman"/>
          <w:color w:val="333333"/>
          <w:sz w:val="20"/>
          <w:szCs w:val="20"/>
        </w:rPr>
      </w:pPr>
      <w:r w:rsidRPr="00B35B32">
        <w:rPr>
          <w:rFonts w:ascii="Helvetica" w:hAnsi="Helvetica" w:cs="Times New Roman"/>
          <w:color w:val="333333"/>
          <w:sz w:val="20"/>
          <w:szCs w:val="20"/>
        </w:rPr>
        <w:t>Because strategy implementation transforms strategy into actions and business models, it often requires changes within the organization. However, strategy implementation often fails because managers are unable to make the necessary changes due to the effects on resource allocation and power distribution within an organization.7 Managers are leery to disturb the status quo.</w:t>
      </w:r>
    </w:p>
    <w:p w:rsidR="00B35B32" w:rsidRPr="00B35B32" w:rsidRDefault="00B35B32" w:rsidP="00B35B32">
      <w:pPr>
        <w:spacing w:before="150" w:after="150" w:line="255" w:lineRule="atLeast"/>
        <w:divId w:val="2116710853"/>
        <w:rPr>
          <w:rFonts w:ascii="Helvetica" w:hAnsi="Helvetica" w:cs="Times New Roman"/>
          <w:color w:val="333333"/>
          <w:sz w:val="20"/>
          <w:szCs w:val="20"/>
        </w:rPr>
      </w:pPr>
      <w:r w:rsidRPr="00B35B32">
        <w:rPr>
          <w:rFonts w:ascii="Helvetica" w:hAnsi="Helvetica" w:cs="Times New Roman"/>
          <w:color w:val="333333"/>
          <w:sz w:val="20"/>
          <w:szCs w:val="20"/>
        </w:rPr>
        <w:t>As demonstrated by business historian Alfred Chandler in his seminal book </w:t>
      </w:r>
      <w:r w:rsidRPr="00B35B32">
        <w:rPr>
          <w:rFonts w:ascii="Helvetica" w:hAnsi="Helvetica" w:cs="Times New Roman"/>
          <w:i/>
          <w:iCs/>
          <w:color w:val="333333"/>
          <w:sz w:val="20"/>
          <w:szCs w:val="20"/>
        </w:rPr>
        <w:t>Strategy and Structure</w:t>
      </w:r>
      <w:r w:rsidRPr="00B35B32">
        <w:rPr>
          <w:rFonts w:ascii="Helvetica" w:hAnsi="Helvetica" w:cs="Times New Roman"/>
          <w:color w:val="333333"/>
          <w:sz w:val="20"/>
          <w:szCs w:val="20"/>
        </w:rPr>
        <w:t>, organizational structure must follow strategy in order for firms to achieve superior performance: “Structure can be defined as the design of organization through which the enterprise is administered … </w:t>
      </w:r>
      <w:r w:rsidRPr="00B35B32">
        <w:rPr>
          <w:rFonts w:ascii="Helvetica" w:hAnsi="Helvetica" w:cs="Times New Roman"/>
          <w:i/>
          <w:iCs/>
          <w:color w:val="333333"/>
          <w:sz w:val="20"/>
          <w:szCs w:val="20"/>
        </w:rPr>
        <w:t>structure follows strategy.</w:t>
      </w:r>
      <w:r w:rsidRPr="00B35B32">
        <w:rPr>
          <w:rFonts w:ascii="Helvetica" w:hAnsi="Helvetica" w:cs="Times New Roman"/>
          <w:color w:val="333333"/>
          <w:sz w:val="20"/>
          <w:szCs w:val="20"/>
        </w:rPr>
        <w:t>”8 This tenet implies that to implement a strategy successfully, organizational design must be flexible enough to accommodate the formulated strategy and future growth and expansion.</w:t>
      </w:r>
    </w:p>
    <w:p w:rsidR="00B35B32" w:rsidRPr="00B35B32" w:rsidRDefault="00B35B32" w:rsidP="00B35B32">
      <w:pPr>
        <w:spacing w:before="150" w:after="150" w:line="255" w:lineRule="atLeast"/>
        <w:divId w:val="2116710853"/>
        <w:rPr>
          <w:rFonts w:ascii="Helvetica" w:hAnsi="Helvetica" w:cs="Times New Roman"/>
          <w:color w:val="333333"/>
          <w:sz w:val="20"/>
          <w:szCs w:val="20"/>
        </w:rPr>
      </w:pPr>
      <w:r w:rsidRPr="00B35B32">
        <w:rPr>
          <w:rFonts w:ascii="Helvetica" w:hAnsi="Helvetica" w:cs="Times New Roman"/>
          <w:color w:val="333333"/>
          <w:sz w:val="20"/>
          <w:szCs w:val="20"/>
        </w:rPr>
        <w:t xml:space="preserve">Featured in the ChapterCase, Zappos provides an example of a company with flexible organizational structure. When establishing customer service as a core competency, one of the hardest decisions </w:t>
      </w:r>
      <w:proofErr w:type="spellStart"/>
      <w:r w:rsidRPr="00B35B32">
        <w:rPr>
          <w:rFonts w:ascii="Helvetica" w:hAnsi="Helvetica" w:cs="Times New Roman"/>
          <w:color w:val="333333"/>
          <w:sz w:val="20"/>
          <w:szCs w:val="20"/>
        </w:rPr>
        <w:t>Hsieh</w:t>
      </w:r>
      <w:proofErr w:type="spellEnd"/>
      <w:r w:rsidRPr="00B35B32">
        <w:rPr>
          <w:rFonts w:ascii="Helvetica" w:hAnsi="Helvetica" w:cs="Times New Roman"/>
          <w:color w:val="333333"/>
          <w:sz w:val="20"/>
          <w:szCs w:val="20"/>
        </w:rPr>
        <w:t xml:space="preserve"> made early was to pull the plug on drop-shipment orders. These are orders for which Zappos would be the intermediary, relaying them to particular shoe vendors who then ship directly to the customer. Such orders were profitable because Zappos would not have to stock all the shoes. They were also appealing because the fledgling startup was still losing money. But the problem was twofold. The vendors were slower than Zappos in filling orders. In addition, they did not accomplish the reliability metric that Zappos wanted for exceptional service: 95 percent accuracy was simply not good enough! Instead, Zappos decided to forgo drop shipments and instead built a larger warehouse in Kentucky to stock a full inventory. This move enabled the firm to achieve close to 100 percent accuracy in its shipments, many of which were overnight. Unlike other online retailers, Zappos stocks everything it sells in its own warehouses—this is the only way to get the merchandise as quickly as possible with 100 percent accuracy to the customer. Strategy, therefore, is as much about deciding what to do as it is about deciding what </w:t>
      </w:r>
      <w:r w:rsidRPr="00B35B32">
        <w:rPr>
          <w:rFonts w:ascii="Helvetica" w:hAnsi="Helvetica" w:cs="Times New Roman"/>
          <w:i/>
          <w:iCs/>
          <w:color w:val="333333"/>
          <w:sz w:val="20"/>
          <w:szCs w:val="20"/>
        </w:rPr>
        <w:t>not</w:t>
      </w:r>
      <w:r w:rsidRPr="00B35B32">
        <w:rPr>
          <w:rFonts w:ascii="Helvetica" w:hAnsi="Helvetica" w:cs="Times New Roman"/>
          <w:color w:val="333333"/>
          <w:sz w:val="20"/>
          <w:szCs w:val="20"/>
        </w:rPr>
        <w:t> to do.</w:t>
      </w:r>
    </w:p>
    <w:p w:rsidR="00B35B32" w:rsidRPr="00B35B32" w:rsidRDefault="00B35B32" w:rsidP="00B35B32">
      <w:pPr>
        <w:divId w:val="1132359109"/>
        <w:rPr>
          <w:rFonts w:ascii="Helvetica" w:eastAsia="Times New Roman" w:hAnsi="Helvetica" w:cs="Times New Roman"/>
          <w:color w:val="333333"/>
          <w:sz w:val="24"/>
          <w:szCs w:val="24"/>
        </w:rPr>
      </w:pPr>
      <w:r w:rsidRPr="00B35B32">
        <w:rPr>
          <w:rFonts w:ascii="Helvetica" w:eastAsia="Times New Roman" w:hAnsi="Helvetica" w:cs="Times New Roman"/>
          <w:b/>
          <w:bCs/>
          <w:color w:val="FFFFFF"/>
          <w:sz w:val="23"/>
          <w:szCs w:val="23"/>
          <w:shd w:val="clear" w:color="auto" w:fill="66854E"/>
        </w:rPr>
        <w:t>LO 11-2</w:t>
      </w:r>
    </w:p>
    <w:p w:rsidR="00B35B32" w:rsidRPr="00B35B32" w:rsidRDefault="00B35B32" w:rsidP="00B35B32">
      <w:pPr>
        <w:divId w:val="753091013"/>
        <w:rPr>
          <w:rFonts w:ascii="Helvetica" w:eastAsia="Times New Roman" w:hAnsi="Helvetica" w:cs="Times New Roman"/>
          <w:color w:val="333333"/>
          <w:sz w:val="18"/>
          <w:szCs w:val="18"/>
        </w:rPr>
      </w:pPr>
      <w:r w:rsidRPr="00B35B32">
        <w:rPr>
          <w:rFonts w:ascii="Helvetica" w:eastAsia="Times New Roman" w:hAnsi="Helvetica" w:cs="Times New Roman"/>
          <w:color w:val="333333"/>
          <w:sz w:val="18"/>
          <w:szCs w:val="18"/>
        </w:rPr>
        <w:t>Explain how organizational inertia can lead established firms to failure.</w:t>
      </w:r>
    </w:p>
    <w:p w:rsidR="00B35B32" w:rsidRPr="00B35B32" w:rsidRDefault="00B35B32" w:rsidP="00B35B32">
      <w:pPr>
        <w:spacing w:before="100" w:beforeAutospacing="1" w:after="100" w:afterAutospacing="1"/>
        <w:outlineLvl w:val="1"/>
        <w:divId w:val="2080517128"/>
        <w:rPr>
          <w:rFonts w:ascii="Helvetica" w:eastAsia="Times New Roman" w:hAnsi="Helvetica" w:cs="Times New Roman"/>
          <w:b/>
          <w:bCs/>
          <w:color w:val="6C8958"/>
          <w:sz w:val="27"/>
          <w:szCs w:val="27"/>
        </w:rPr>
      </w:pPr>
      <w:r w:rsidRPr="00B35B32">
        <w:rPr>
          <w:rFonts w:ascii="Helvetica" w:eastAsia="Times New Roman" w:hAnsi="Helvetica" w:cs="Times New Roman"/>
          <w:b/>
          <w:bCs/>
          <w:color w:val="6C8958"/>
          <w:sz w:val="27"/>
          <w:szCs w:val="27"/>
        </w:rPr>
        <w:lastRenderedPageBreak/>
        <w:t>ORGANIZATIONAL INERTIA: THE FAILURE OF ESTABLISHED FIRMS</w:t>
      </w:r>
    </w:p>
    <w:p w:rsidR="00B35B32" w:rsidRPr="00B35B32" w:rsidRDefault="00B35B32" w:rsidP="00B35B32">
      <w:pPr>
        <w:spacing w:before="150" w:after="150" w:line="255" w:lineRule="atLeast"/>
        <w:divId w:val="2080517128"/>
        <w:rPr>
          <w:rFonts w:ascii="Helvetica" w:hAnsi="Helvetica" w:cs="Times New Roman"/>
          <w:color w:val="333333"/>
          <w:sz w:val="20"/>
          <w:szCs w:val="20"/>
        </w:rPr>
      </w:pPr>
      <w:r w:rsidRPr="00B35B32">
        <w:rPr>
          <w:rFonts w:ascii="Helvetica" w:hAnsi="Helvetica" w:cs="Times New Roman"/>
          <w:color w:val="333333"/>
          <w:sz w:val="20"/>
          <w:szCs w:val="20"/>
        </w:rPr>
        <w:t>To implement a formulated business strategy successfully, structure must accommodate strategy, not the other way around. In reality, however, a firm’s strategy often follows its structure.9 This reversal implies that some managers consider only strategies that do not change existing organizational structures; they do not want to confront the inertia that often exists in established organizations.10 </w:t>
      </w:r>
      <w:r w:rsidRPr="00B35B32">
        <w:rPr>
          <w:rFonts w:ascii="Helvetica" w:hAnsi="Helvetica" w:cs="Times New Roman"/>
          <w:b/>
          <w:bCs/>
          <w:color w:val="333333"/>
          <w:sz w:val="20"/>
          <w:szCs w:val="20"/>
        </w:rPr>
        <w:t>Inertia</w:t>
      </w:r>
      <w:r w:rsidRPr="00B35B32">
        <w:rPr>
          <w:rFonts w:ascii="Helvetica" w:hAnsi="Helvetica" w:cs="Times New Roman"/>
          <w:color w:val="333333"/>
          <w:sz w:val="20"/>
          <w:szCs w:val="20"/>
        </w:rPr>
        <w:t>, a firm’s resistance to change the status quo, can set the stage for the firm’s subsequent failure. Successful firms often plant the seed of subsequent failure: They optimize their organizational structure to the current situation. That tightly coupled system can break apart when internal or external pressures occur.</w:t>
      </w:r>
    </w:p>
    <w:p w:rsidR="00B35B32" w:rsidRPr="00B35B32" w:rsidRDefault="00B35B32" w:rsidP="00B35B32">
      <w:pPr>
        <w:spacing w:before="150" w:after="150" w:line="255" w:lineRule="atLeast"/>
        <w:divId w:val="2080517128"/>
        <w:rPr>
          <w:rFonts w:ascii="Helvetica" w:hAnsi="Helvetica" w:cs="Times New Roman"/>
          <w:color w:val="333333"/>
          <w:sz w:val="20"/>
          <w:szCs w:val="20"/>
        </w:rPr>
      </w:pPr>
      <w:r w:rsidRPr="00B35B32">
        <w:rPr>
          <w:rFonts w:ascii="Helvetica" w:hAnsi="Helvetica" w:cs="Times New Roman"/>
          <w:color w:val="333333"/>
          <w:sz w:val="20"/>
          <w:szCs w:val="20"/>
        </w:rPr>
        <w:t>Note that organizational inertia is often the result of success in a particular market during a particular time; it becomes difficult to argue with success. The pattern for successful firms often follows a particular path:</w:t>
      </w:r>
    </w:p>
    <w:tbl>
      <w:tblPr>
        <w:tblW w:w="0" w:type="auto"/>
        <w:tblCellMar>
          <w:top w:w="15" w:type="dxa"/>
          <w:left w:w="15" w:type="dxa"/>
          <w:bottom w:w="15" w:type="dxa"/>
          <w:right w:w="15" w:type="dxa"/>
        </w:tblCellMar>
        <w:tblLook w:val="04A0" w:firstRow="1" w:lastRow="0" w:firstColumn="1" w:lastColumn="0" w:noHBand="0" w:noVBand="1"/>
      </w:tblPr>
      <w:tblGrid>
        <w:gridCol w:w="180"/>
        <w:gridCol w:w="9180"/>
      </w:tblGrid>
      <w:tr w:rsidR="00B35B32" w:rsidRPr="00B35B32">
        <w:trPr>
          <w:divId w:val="2080517128"/>
        </w:trPr>
        <w:tc>
          <w:tcPr>
            <w:tcW w:w="0" w:type="auto"/>
            <w:hideMark/>
          </w:tcPr>
          <w:p w:rsidR="00B35B32" w:rsidRPr="00B35B32" w:rsidRDefault="00B35B32" w:rsidP="00B35B32">
            <w:pPr>
              <w:spacing w:before="150" w:after="150" w:line="255" w:lineRule="atLeast"/>
              <w:jc w:val="right"/>
              <w:rPr>
                <w:rFonts w:ascii="Times New Roman" w:hAnsi="Times New Roman" w:cs="Times New Roman"/>
                <w:sz w:val="20"/>
                <w:szCs w:val="20"/>
              </w:rPr>
            </w:pPr>
            <w:r w:rsidRPr="00B35B32">
              <w:rPr>
                <w:rFonts w:ascii="Times New Roman" w:hAnsi="Times New Roman" w:cs="Times New Roman"/>
                <w:sz w:val="20"/>
                <w:szCs w:val="20"/>
              </w:rPr>
              <w:t>1.</w:t>
            </w:r>
          </w:p>
        </w:tc>
        <w:tc>
          <w:tcPr>
            <w:tcW w:w="0" w:type="auto"/>
            <w:hideMark/>
          </w:tcPr>
          <w:p w:rsidR="00B35B32" w:rsidRPr="00B35B32" w:rsidRDefault="00B35B32" w:rsidP="00B35B32">
            <w:pPr>
              <w:spacing w:before="150" w:after="150" w:line="255" w:lineRule="atLeast"/>
              <w:rPr>
                <w:rFonts w:ascii="Times New Roman" w:hAnsi="Times New Roman" w:cs="Times New Roman"/>
                <w:sz w:val="20"/>
                <w:szCs w:val="20"/>
              </w:rPr>
            </w:pPr>
            <w:r w:rsidRPr="00B35B32">
              <w:rPr>
                <w:rFonts w:ascii="Times New Roman" w:hAnsi="Times New Roman" w:cs="Times New Roman"/>
                <w:sz w:val="20"/>
                <w:szCs w:val="20"/>
              </w:rPr>
              <w:t>Mastery of, and fit with, the current environment.</w:t>
            </w:r>
          </w:p>
        </w:tc>
      </w:tr>
      <w:tr w:rsidR="00B35B32" w:rsidRPr="00B35B32">
        <w:trPr>
          <w:divId w:val="2080517128"/>
        </w:trPr>
        <w:tc>
          <w:tcPr>
            <w:tcW w:w="0" w:type="auto"/>
            <w:hideMark/>
          </w:tcPr>
          <w:p w:rsidR="00B35B32" w:rsidRPr="00B35B32" w:rsidRDefault="00B35B32" w:rsidP="00B35B32">
            <w:pPr>
              <w:spacing w:before="150" w:after="150" w:line="255" w:lineRule="atLeast"/>
              <w:jc w:val="right"/>
              <w:rPr>
                <w:rFonts w:ascii="Times New Roman" w:hAnsi="Times New Roman" w:cs="Times New Roman"/>
                <w:sz w:val="20"/>
                <w:szCs w:val="20"/>
              </w:rPr>
            </w:pPr>
            <w:r w:rsidRPr="00B35B32">
              <w:rPr>
                <w:rFonts w:ascii="Times New Roman" w:hAnsi="Times New Roman" w:cs="Times New Roman"/>
                <w:sz w:val="20"/>
                <w:szCs w:val="20"/>
              </w:rPr>
              <w:t>2.</w:t>
            </w:r>
          </w:p>
        </w:tc>
        <w:tc>
          <w:tcPr>
            <w:tcW w:w="0" w:type="auto"/>
            <w:hideMark/>
          </w:tcPr>
          <w:p w:rsidR="00B35B32" w:rsidRPr="00B35B32" w:rsidRDefault="00B35B32" w:rsidP="00B35B32">
            <w:pPr>
              <w:spacing w:before="150" w:after="150" w:line="255" w:lineRule="atLeast"/>
              <w:rPr>
                <w:rFonts w:ascii="Times New Roman" w:hAnsi="Times New Roman" w:cs="Times New Roman"/>
                <w:sz w:val="20"/>
                <w:szCs w:val="20"/>
              </w:rPr>
            </w:pPr>
            <w:r w:rsidRPr="00B35B32">
              <w:rPr>
                <w:rFonts w:ascii="Times New Roman" w:hAnsi="Times New Roman" w:cs="Times New Roman"/>
                <w:sz w:val="20"/>
                <w:szCs w:val="20"/>
              </w:rPr>
              <w:t>Success, usually measured by financial measurements.</w:t>
            </w:r>
          </w:p>
        </w:tc>
      </w:tr>
      <w:tr w:rsidR="00B35B32" w:rsidRPr="00B35B32">
        <w:trPr>
          <w:divId w:val="2080517128"/>
        </w:trPr>
        <w:tc>
          <w:tcPr>
            <w:tcW w:w="0" w:type="auto"/>
            <w:hideMark/>
          </w:tcPr>
          <w:p w:rsidR="00B35B32" w:rsidRPr="00B35B32" w:rsidRDefault="00B35B32" w:rsidP="00B35B32">
            <w:pPr>
              <w:spacing w:before="150" w:after="150" w:line="255" w:lineRule="atLeast"/>
              <w:jc w:val="right"/>
              <w:rPr>
                <w:rFonts w:ascii="Times New Roman" w:hAnsi="Times New Roman" w:cs="Times New Roman"/>
                <w:sz w:val="20"/>
                <w:szCs w:val="20"/>
              </w:rPr>
            </w:pPr>
            <w:r w:rsidRPr="00B35B32">
              <w:rPr>
                <w:rFonts w:ascii="Times New Roman" w:hAnsi="Times New Roman" w:cs="Times New Roman"/>
                <w:sz w:val="20"/>
                <w:szCs w:val="20"/>
              </w:rPr>
              <w:t>3.</w:t>
            </w:r>
          </w:p>
        </w:tc>
        <w:tc>
          <w:tcPr>
            <w:tcW w:w="0" w:type="auto"/>
            <w:hideMark/>
          </w:tcPr>
          <w:p w:rsidR="00B35B32" w:rsidRPr="00B35B32" w:rsidRDefault="00B35B32" w:rsidP="00B35B32">
            <w:pPr>
              <w:spacing w:before="150" w:after="150" w:line="255" w:lineRule="atLeast"/>
              <w:rPr>
                <w:rFonts w:ascii="Times New Roman" w:hAnsi="Times New Roman" w:cs="Times New Roman"/>
                <w:sz w:val="20"/>
                <w:szCs w:val="20"/>
              </w:rPr>
            </w:pPr>
            <w:r w:rsidRPr="00B35B32">
              <w:rPr>
                <w:rFonts w:ascii="Times New Roman" w:hAnsi="Times New Roman" w:cs="Times New Roman"/>
                <w:sz w:val="20"/>
                <w:szCs w:val="20"/>
              </w:rPr>
              <w:t>Structures, measures, and systems to accommodate and manage size.</w:t>
            </w:r>
          </w:p>
        </w:tc>
      </w:tr>
      <w:tr w:rsidR="00B35B32" w:rsidRPr="00B35B32">
        <w:trPr>
          <w:divId w:val="2080517128"/>
        </w:trPr>
        <w:tc>
          <w:tcPr>
            <w:tcW w:w="0" w:type="auto"/>
            <w:hideMark/>
          </w:tcPr>
          <w:p w:rsidR="00B35B32" w:rsidRPr="00B35B32" w:rsidRDefault="00B35B32" w:rsidP="00B35B32">
            <w:pPr>
              <w:spacing w:before="150" w:after="150" w:line="255" w:lineRule="atLeast"/>
              <w:jc w:val="right"/>
              <w:rPr>
                <w:rFonts w:ascii="Times New Roman" w:hAnsi="Times New Roman" w:cs="Times New Roman"/>
                <w:sz w:val="20"/>
                <w:szCs w:val="20"/>
              </w:rPr>
            </w:pPr>
            <w:r w:rsidRPr="00B35B32">
              <w:rPr>
                <w:rFonts w:ascii="Times New Roman" w:hAnsi="Times New Roman" w:cs="Times New Roman"/>
                <w:sz w:val="20"/>
                <w:szCs w:val="20"/>
              </w:rPr>
              <w:t>4.</w:t>
            </w:r>
          </w:p>
        </w:tc>
        <w:tc>
          <w:tcPr>
            <w:tcW w:w="0" w:type="auto"/>
            <w:hideMark/>
          </w:tcPr>
          <w:p w:rsidR="00B35B32" w:rsidRPr="00B35B32" w:rsidRDefault="00B35B32" w:rsidP="00B35B32">
            <w:pPr>
              <w:spacing w:before="150" w:after="150" w:line="255" w:lineRule="atLeast"/>
              <w:rPr>
                <w:rFonts w:ascii="Times New Roman" w:hAnsi="Times New Roman" w:cs="Times New Roman"/>
                <w:sz w:val="20"/>
                <w:szCs w:val="20"/>
              </w:rPr>
            </w:pPr>
            <w:r w:rsidRPr="00B35B32">
              <w:rPr>
                <w:rFonts w:ascii="Times New Roman" w:hAnsi="Times New Roman" w:cs="Times New Roman"/>
                <w:sz w:val="20"/>
                <w:szCs w:val="20"/>
              </w:rPr>
              <w:t>A resulting organizational inertia that tends to minimize opportunities and challenges created by shifts in the internal and external environment.</w:t>
            </w:r>
          </w:p>
        </w:tc>
      </w:tr>
    </w:tbl>
    <w:p w:rsidR="00B35B32" w:rsidRPr="00B35B32" w:rsidRDefault="00B35B32" w:rsidP="00B35B32">
      <w:pPr>
        <w:shd w:val="clear" w:color="auto" w:fill="FFFFFF"/>
        <w:jc w:val="center"/>
        <w:divId w:val="613831003"/>
        <w:rPr>
          <w:rFonts w:ascii="Verdana" w:eastAsia="Times New Roman" w:hAnsi="Verdana" w:cs="Times New Roman"/>
          <w:color w:val="333333"/>
          <w:sz w:val="14"/>
          <w:szCs w:val="14"/>
        </w:rPr>
      </w:pPr>
      <w:r w:rsidRPr="00B35B32">
        <w:rPr>
          <w:rFonts w:ascii="Verdana" w:eastAsia="Times New Roman" w:hAnsi="Verdana" w:cs="Times New Roman"/>
          <w:color w:val="333333"/>
          <w:sz w:val="14"/>
          <w:szCs w:val="14"/>
        </w:rPr>
        <w:t>Page 369</w:t>
      </w:r>
    </w:p>
    <w:p w:rsidR="00B35B32" w:rsidRPr="00B35B32" w:rsidRDefault="00B35B32" w:rsidP="00B35B32">
      <w:pPr>
        <w:spacing w:before="150" w:after="150" w:line="255" w:lineRule="atLeast"/>
        <w:divId w:val="2080517128"/>
        <w:rPr>
          <w:rFonts w:ascii="Helvetica" w:hAnsi="Helvetica" w:cs="Times New Roman"/>
          <w:color w:val="333333"/>
          <w:sz w:val="20"/>
          <w:szCs w:val="20"/>
        </w:rPr>
      </w:pPr>
      <w:r w:rsidRPr="00B35B32">
        <w:rPr>
          <w:rFonts w:ascii="Helvetica" w:hAnsi="Helvetica" w:cs="Times New Roman"/>
          <w:color w:val="333333"/>
          <w:sz w:val="20"/>
          <w:szCs w:val="20"/>
        </w:rPr>
        <w:t>What’s missing, of course, is the conscious strategic decision to change the firm’s internal environment to fit with the new external environment, turning four steps leading to the endpoint of inertia (Option A) into the kind of a virtual circle where the firm essentially reboots and reinvents itself (Option B).</w:t>
      </w:r>
    </w:p>
    <w:p w:rsidR="00B35B32" w:rsidRPr="00B35B32" w:rsidRDefault="00B35B32" w:rsidP="00B35B32">
      <w:pPr>
        <w:textAlignment w:val="top"/>
        <w:divId w:val="166990805"/>
        <w:rPr>
          <w:rFonts w:ascii="Helvetica" w:eastAsia="Times New Roman" w:hAnsi="Helvetica" w:cs="Times New Roman"/>
          <w:color w:val="333333"/>
          <w:sz w:val="24"/>
          <w:szCs w:val="24"/>
        </w:rPr>
      </w:pPr>
      <w:r w:rsidRPr="00B35B32">
        <w:rPr>
          <w:rFonts w:ascii="Helvetica" w:eastAsia="Times New Roman" w:hAnsi="Helvetica" w:cs="Times New Roman"/>
          <w:noProof/>
          <w:color w:val="333333"/>
          <w:sz w:val="24"/>
          <w:szCs w:val="24"/>
        </w:rPr>
        <w:drawing>
          <wp:inline distT="0" distB="0" distL="0" distR="0" wp14:anchorId="089B7BDE" wp14:editId="5FCB9D27">
            <wp:extent cx="5430520" cy="1916430"/>
            <wp:effectExtent l="0" t="0" r="5080" b="1270"/>
            <wp:docPr id="3" name="Picture 3" descr="/private/var/mobile/Containers/Data/Application/C214022C-B9FF-449E-957A-F21E29A0A98D/tmp/WebArchiveCopyPasteTempFiles/rot20477_p3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760545_001_010603" descr="/private/var/mobile/Containers/Data/Application/C214022C-B9FF-449E-957A-F21E29A0A98D/tmp/WebArchiveCopyPasteTempFiles/rot20477_p369-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0520" cy="1916430"/>
                    </a:xfrm>
                    <a:prstGeom prst="rect">
                      <a:avLst/>
                    </a:prstGeom>
                    <a:noFill/>
                    <a:ln>
                      <a:noFill/>
                    </a:ln>
                  </pic:spPr>
                </pic:pic>
              </a:graphicData>
            </a:graphic>
          </wp:inline>
        </w:drawing>
      </w:r>
    </w:p>
    <w:p w:rsidR="00B35B32" w:rsidRPr="00B35B32" w:rsidRDefault="00B35B32" w:rsidP="00B35B32">
      <w:pPr>
        <w:spacing w:before="150" w:after="150" w:line="255" w:lineRule="atLeast"/>
        <w:divId w:val="2080517128"/>
        <w:rPr>
          <w:rFonts w:ascii="Helvetica" w:hAnsi="Helvetica" w:cs="Times New Roman"/>
          <w:color w:val="333333"/>
          <w:sz w:val="20"/>
          <w:szCs w:val="20"/>
        </w:rPr>
      </w:pPr>
      <w:r w:rsidRPr="00B35B32">
        <w:rPr>
          <w:rFonts w:ascii="Helvetica" w:hAnsi="Helvetica" w:cs="Times New Roman"/>
          <w:color w:val="333333"/>
          <w:sz w:val="20"/>
          <w:szCs w:val="20"/>
        </w:rPr>
        <w:t>Consider that the need for structural reorganization can be especially intense in many industries where the rate of change is high and potential disruption frequent. Consider also that business leaders find it much easier to create and manage within developed structures than to restructure their organizations to be where they will need to be in future.</w:t>
      </w:r>
    </w:p>
    <w:p w:rsidR="00B35B32" w:rsidRPr="00B35B32" w:rsidRDefault="00B35B32" w:rsidP="00B35B32">
      <w:pPr>
        <w:spacing w:before="150" w:after="150" w:line="255" w:lineRule="atLeast"/>
        <w:divId w:val="2080517128"/>
        <w:rPr>
          <w:rFonts w:ascii="Helvetica" w:hAnsi="Helvetica" w:cs="Times New Roman"/>
          <w:color w:val="333333"/>
          <w:sz w:val="20"/>
          <w:szCs w:val="20"/>
        </w:rPr>
      </w:pPr>
      <w:r w:rsidRPr="00B35B32">
        <w:rPr>
          <w:rFonts w:ascii="Helvetica" w:hAnsi="Helvetica" w:cs="Times New Roman"/>
          <w:color w:val="333333"/>
          <w:sz w:val="20"/>
          <w:szCs w:val="20"/>
        </w:rPr>
        <w:t xml:space="preserve">Exhibit 11.2 shows how success in the current environment can lead to a firm’s downfall in the future, when the tightly coupled system of strategy and structure experiences internal or external shifts.11 First, the managers achieve a mastery of, and fit with, the firm’s current environment. Second, the firm often </w:t>
      </w:r>
      <w:r w:rsidRPr="00B35B32">
        <w:rPr>
          <w:rFonts w:ascii="Helvetica" w:hAnsi="Helvetica" w:cs="Times New Roman"/>
          <w:color w:val="333333"/>
          <w:sz w:val="20"/>
          <w:szCs w:val="20"/>
        </w:rPr>
        <w:lastRenderedPageBreak/>
        <w:t>defines and measures success by financial metrics, with a focus on short-term performance (see discussion in Chapter 5). Third, the firm puts in place structures, metrics, and systems to accommodate and manage increasing firm size and complexity due to continued success. Finally, as a result of a tightly coupled albeit successful system, organizational inertia sets in—and with it, resistance to change.</w:t>
      </w:r>
    </w:p>
    <w:tbl>
      <w:tblPr>
        <w:tblW w:w="0" w:type="auto"/>
        <w:tblCellMar>
          <w:top w:w="15" w:type="dxa"/>
          <w:left w:w="15" w:type="dxa"/>
          <w:bottom w:w="15" w:type="dxa"/>
          <w:right w:w="15" w:type="dxa"/>
        </w:tblCellMar>
        <w:tblLook w:val="04A0" w:firstRow="1" w:lastRow="0" w:firstColumn="1" w:lastColumn="0" w:noHBand="0" w:noVBand="1"/>
      </w:tblPr>
      <w:tblGrid>
        <w:gridCol w:w="1663"/>
        <w:gridCol w:w="7697"/>
      </w:tblGrid>
      <w:tr w:rsidR="00B35B32" w:rsidRPr="00B35B32">
        <w:trPr>
          <w:divId w:val="503788427"/>
        </w:trPr>
        <w:tc>
          <w:tcPr>
            <w:tcW w:w="0" w:type="auto"/>
            <w:vAlign w:val="center"/>
            <w:hideMark/>
          </w:tcPr>
          <w:p w:rsidR="00B35B32" w:rsidRPr="00B35B32" w:rsidRDefault="00B35B32" w:rsidP="00B35B32">
            <w:pPr>
              <w:textAlignment w:val="top"/>
              <w:divId w:val="422922077"/>
              <w:rPr>
                <w:rFonts w:ascii="Times New Roman" w:eastAsia="Times New Roman" w:hAnsi="Times New Roman" w:cs="Times New Roman"/>
                <w:b/>
                <w:bCs/>
                <w:color w:val="83AEAD"/>
                <w:sz w:val="26"/>
                <w:szCs w:val="26"/>
              </w:rPr>
            </w:pPr>
            <w:r w:rsidRPr="00B35B32">
              <w:rPr>
                <w:rFonts w:ascii="Times New Roman" w:eastAsia="Times New Roman" w:hAnsi="Times New Roman" w:cs="Times New Roman"/>
                <w:b/>
                <w:bCs/>
                <w:color w:val="83AEAD"/>
                <w:sz w:val="26"/>
                <w:szCs w:val="26"/>
              </w:rPr>
              <w:t>EXHIBIT 11.2</w:t>
            </w:r>
          </w:p>
        </w:tc>
        <w:tc>
          <w:tcPr>
            <w:tcW w:w="0" w:type="auto"/>
            <w:tcMar>
              <w:top w:w="15" w:type="dxa"/>
              <w:left w:w="90" w:type="dxa"/>
              <w:bottom w:w="15" w:type="dxa"/>
              <w:right w:w="15" w:type="dxa"/>
            </w:tcMar>
            <w:vAlign w:val="center"/>
            <w:hideMark/>
          </w:tcPr>
          <w:p w:rsidR="00B35B32" w:rsidRPr="00B35B32" w:rsidRDefault="00B35B32" w:rsidP="00B35B32">
            <w:pPr>
              <w:rPr>
                <w:rFonts w:ascii="Times New Roman" w:eastAsia="Times New Roman" w:hAnsi="Times New Roman" w:cs="Times New Roman"/>
                <w:sz w:val="24"/>
                <w:szCs w:val="24"/>
              </w:rPr>
            </w:pPr>
            <w:r w:rsidRPr="00B35B32">
              <w:rPr>
                <w:rFonts w:ascii="Times New Roman" w:eastAsia="Times New Roman" w:hAnsi="Times New Roman" w:cs="Times New Roman"/>
                <w:sz w:val="21"/>
                <w:szCs w:val="21"/>
              </w:rPr>
              <w:t>Organizational Inertia and the Failure of Established Firms to Respond to Shifts in the External or Internal Environments</w:t>
            </w:r>
          </w:p>
        </w:tc>
      </w:tr>
    </w:tbl>
    <w:p w:rsidR="00B35B32" w:rsidRPr="00B35B32" w:rsidRDefault="00B35B32" w:rsidP="00B35B32">
      <w:pPr>
        <w:divId w:val="1596863889"/>
        <w:rPr>
          <w:rFonts w:ascii="Helvetica" w:eastAsia="Times New Roman" w:hAnsi="Helvetica" w:cs="Times New Roman"/>
          <w:color w:val="333333"/>
          <w:sz w:val="24"/>
          <w:szCs w:val="24"/>
        </w:rPr>
      </w:pPr>
      <w:r w:rsidRPr="00B35B32">
        <w:rPr>
          <w:rFonts w:ascii="Helvetica" w:eastAsia="Times New Roman" w:hAnsi="Helvetica" w:cs="Times New Roman"/>
          <w:noProof/>
          <w:color w:val="333333"/>
          <w:sz w:val="24"/>
          <w:szCs w:val="24"/>
        </w:rPr>
        <w:drawing>
          <wp:inline distT="0" distB="0" distL="0" distR="0" wp14:anchorId="4FEBB61C" wp14:editId="0FEC8C16">
            <wp:extent cx="5565775" cy="4977765"/>
            <wp:effectExtent l="0" t="0" r="0" b="635"/>
            <wp:docPr id="2" name="Picture 2" descr="/private/var/mobile/Containers/Data/Application/C214022C-B9FF-449E-957A-F21E29A0A98D/tmp/WebArchiveCopyPasteTempFiles/rot20477_p36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760545_001_010608" descr="/private/var/mobile/Containers/Data/Application/C214022C-B9FF-449E-957A-F21E29A0A98D/tmp/WebArchiveCopyPasteTempFiles/rot20477_p369-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5775" cy="4977765"/>
                    </a:xfrm>
                    <a:prstGeom prst="rect">
                      <a:avLst/>
                    </a:prstGeom>
                    <a:noFill/>
                    <a:ln>
                      <a:noFill/>
                    </a:ln>
                  </pic:spPr>
                </pic:pic>
              </a:graphicData>
            </a:graphic>
          </wp:inline>
        </w:drawing>
      </w:r>
    </w:p>
    <w:p w:rsidR="00B35B32" w:rsidRPr="00B35B32" w:rsidRDefault="00B35B32" w:rsidP="00B35B32">
      <w:pPr>
        <w:shd w:val="clear" w:color="auto" w:fill="FFFFFF"/>
        <w:jc w:val="center"/>
        <w:divId w:val="1760591343"/>
        <w:rPr>
          <w:rFonts w:ascii="Verdana" w:eastAsia="Times New Roman" w:hAnsi="Verdana" w:cs="Times New Roman"/>
          <w:color w:val="333333"/>
          <w:sz w:val="14"/>
          <w:szCs w:val="14"/>
        </w:rPr>
      </w:pPr>
      <w:r w:rsidRPr="00B35B32">
        <w:rPr>
          <w:rFonts w:ascii="Verdana" w:eastAsia="Times New Roman" w:hAnsi="Verdana" w:cs="Times New Roman"/>
          <w:color w:val="333333"/>
          <w:sz w:val="14"/>
          <w:szCs w:val="14"/>
        </w:rPr>
        <w:t>Page 370</w:t>
      </w:r>
    </w:p>
    <w:p w:rsidR="00B35B32" w:rsidRPr="00B35B32" w:rsidRDefault="00B35B32" w:rsidP="00B35B32">
      <w:pPr>
        <w:divId w:val="1991859264"/>
        <w:rPr>
          <w:rFonts w:ascii="Helvetica" w:eastAsia="Times New Roman" w:hAnsi="Helvetica" w:cs="Times New Roman"/>
          <w:color w:val="333333"/>
          <w:sz w:val="24"/>
          <w:szCs w:val="24"/>
        </w:rPr>
      </w:pPr>
      <w:r w:rsidRPr="00B35B32">
        <w:rPr>
          <w:rFonts w:ascii="Helvetica" w:eastAsia="Times New Roman" w:hAnsi="Helvetica" w:cs="Times New Roman"/>
          <w:color w:val="333333"/>
          <w:sz w:val="33"/>
          <w:szCs w:val="33"/>
          <w:bdr w:val="single" w:sz="36" w:space="6" w:color="ADCCDC" w:frame="1"/>
          <w:shd w:val="clear" w:color="auto" w:fill="585F68"/>
        </w:rPr>
        <w:t>Strategy Highlight </w:t>
      </w:r>
      <w:r w:rsidRPr="00B35B32">
        <w:rPr>
          <w:rFonts w:ascii="Helvetica" w:eastAsia="Times New Roman" w:hAnsi="Helvetica" w:cs="Times New Roman"/>
          <w:b/>
          <w:bCs/>
          <w:color w:val="BAD5E1"/>
          <w:sz w:val="33"/>
          <w:szCs w:val="33"/>
          <w:bdr w:val="single" w:sz="36" w:space="6" w:color="ADCCDC" w:frame="1"/>
          <w:shd w:val="clear" w:color="auto" w:fill="585F68"/>
        </w:rPr>
        <w:t>11.1</w:t>
      </w:r>
    </w:p>
    <w:p w:rsidR="00B35B32" w:rsidRPr="00B35B32" w:rsidRDefault="00B35B32" w:rsidP="00B35B32">
      <w:pPr>
        <w:shd w:val="clear" w:color="auto" w:fill="E2F4FD"/>
        <w:divId w:val="1239633528"/>
        <w:rPr>
          <w:rFonts w:ascii="Helvetica" w:eastAsia="Times New Roman" w:hAnsi="Helvetica" w:cs="Times New Roman"/>
          <w:color w:val="333333"/>
          <w:sz w:val="24"/>
          <w:szCs w:val="24"/>
        </w:rPr>
      </w:pPr>
      <w:r w:rsidRPr="00B35B32">
        <w:rPr>
          <w:rFonts w:ascii="Helvetica" w:eastAsia="Times New Roman" w:hAnsi="Helvetica" w:cs="Times New Roman"/>
          <w:b/>
          <w:bCs/>
          <w:color w:val="333333"/>
          <w:sz w:val="24"/>
          <w:szCs w:val="24"/>
        </w:rPr>
        <w:t>The Premature Death of a Google-like Search Engine at Microsoft</w:t>
      </w:r>
    </w:p>
    <w:p w:rsidR="00B35B32" w:rsidRPr="00B35B32" w:rsidRDefault="00B35B32" w:rsidP="00B35B32">
      <w:pPr>
        <w:shd w:val="clear" w:color="auto" w:fill="E2F4FD"/>
        <w:spacing w:before="150" w:after="150" w:line="255" w:lineRule="atLeast"/>
        <w:divId w:val="1239633528"/>
        <w:rPr>
          <w:rFonts w:ascii="Helvetica" w:hAnsi="Helvetica" w:cs="Times New Roman"/>
          <w:color w:val="333333"/>
          <w:sz w:val="20"/>
          <w:szCs w:val="20"/>
        </w:rPr>
      </w:pPr>
      <w:r w:rsidRPr="00B35B32">
        <w:rPr>
          <w:rFonts w:ascii="Helvetica" w:hAnsi="Helvetica" w:cs="Times New Roman"/>
          <w:color w:val="333333"/>
          <w:sz w:val="20"/>
          <w:szCs w:val="20"/>
        </w:rPr>
        <w:t xml:space="preserve">In 1998, 24-year-old Sergey Brin and 25-year-old Larry Page founded Google. At the same time, Microsoft was the most valuable technology company of all time. Brin and Page met as graduate students in computer science at Stanford University, where they began working together on a web crawler, with the goal of improving online searches. What they developed was the PageRank algorithm, which returns the most relevant web pages more or less instantaneously and ranks them by how often they are referenced </w:t>
      </w:r>
      <w:r w:rsidRPr="00B35B32">
        <w:rPr>
          <w:rFonts w:ascii="Helvetica" w:hAnsi="Helvetica" w:cs="Times New Roman"/>
          <w:color w:val="333333"/>
          <w:sz w:val="20"/>
          <w:szCs w:val="20"/>
        </w:rPr>
        <w:lastRenderedPageBreak/>
        <w:t>on other important web pages. A clear improvement over early search engines such as Alta-Vista, Overture, and Yahoo, all of which indexed by keywords, the PageRank algorithm is able to consider 500 million variables and 3 billion terms. What started as a homework assignment launched the two into an entrepreneurial venture when they set up shop in a garage in Menlo Park, California.</w:t>
      </w:r>
    </w:p>
    <w:p w:rsidR="00B35B32" w:rsidRPr="00B35B32" w:rsidRDefault="00B35B32" w:rsidP="00B35B32">
      <w:pPr>
        <w:shd w:val="clear" w:color="auto" w:fill="E2F4FD"/>
        <w:spacing w:before="150" w:after="150" w:line="255" w:lineRule="atLeast"/>
        <w:divId w:val="1239633528"/>
        <w:rPr>
          <w:rFonts w:ascii="Helvetica" w:hAnsi="Helvetica" w:cs="Times New Roman"/>
          <w:color w:val="333333"/>
          <w:sz w:val="20"/>
          <w:szCs w:val="20"/>
        </w:rPr>
      </w:pPr>
      <w:r w:rsidRPr="00B35B32">
        <w:rPr>
          <w:rFonts w:ascii="Helvetica" w:hAnsi="Helvetica" w:cs="Times New Roman"/>
          <w:color w:val="333333"/>
          <w:sz w:val="20"/>
          <w:szCs w:val="20"/>
        </w:rPr>
        <w:t>Today, Google is the world’s leading online search company with 65 percent market share in the United States and over 90 percent in Europe. It leverages this dominant position into leadership in the online advertising industry: Of some $70 billion in annual revenues, more than $60 billion (or 90 percent) of Google’s revenues come from paid online search advertising. Though Yahoo is a distant second with less than a 15 percent share in online search, in 2008 Microsoft CEO Steve Ballmer offered to buy the runner-up for close to $50 billion to help his company gain a foothold in the paid-search business where Google rules. Yahoo turned down the offer.</w:t>
      </w:r>
    </w:p>
    <w:p w:rsidR="00B35B32" w:rsidRPr="00B35B32" w:rsidRDefault="00B35B32" w:rsidP="00B35B32">
      <w:pPr>
        <w:shd w:val="clear" w:color="auto" w:fill="E2F4FD"/>
        <w:spacing w:before="150" w:after="150" w:line="255" w:lineRule="atLeast"/>
        <w:divId w:val="1239633528"/>
        <w:rPr>
          <w:rFonts w:ascii="Helvetica" w:hAnsi="Helvetica" w:cs="Times New Roman"/>
          <w:color w:val="333333"/>
          <w:sz w:val="20"/>
          <w:szCs w:val="20"/>
        </w:rPr>
      </w:pPr>
      <w:r w:rsidRPr="00B35B32">
        <w:rPr>
          <w:rFonts w:ascii="Helvetica" w:hAnsi="Helvetica" w:cs="Times New Roman"/>
          <w:color w:val="333333"/>
          <w:sz w:val="20"/>
          <w:szCs w:val="20"/>
        </w:rPr>
        <w:t>What haunts Ballmer is that Microsoft actually had its own working prototype of a Google forerunner, called Keywords, more than a decade earlier. Scott Banister, then a student at the University of Illinois at Urbana-Champaign, had come up with the idea of adding paid advertisements to Internet searches. He quit college and drove his Geo hatchback to the San Francisco Bay Area to start Keywords, later joining an online ad company called LinkExchange. In 1998, Microsoft bought LinkExchange for some $265 million (about one two-hundredth the price it would later offer for Yahoo). LinkExchange’s managers urged Microsoft to invest in Keywords. Instead, Microsoft executives shut down LinkExchange in 2000 because they did not see a viable business model in it. One LinkExchange manager actually approached Ballmer himself and explained that he thought Microsoft was making a mistake. But Ballmer said he wanted to manage through delegation and would not reverse a decision made by managers three levels below him. This decision put an end to Microsoft’s first online advertising venture.</w:t>
      </w:r>
    </w:p>
    <w:p w:rsidR="00B35B32" w:rsidRPr="00B35B32" w:rsidRDefault="00B35B32" w:rsidP="00B35B32">
      <w:pPr>
        <w:shd w:val="clear" w:color="auto" w:fill="E2F4FD"/>
        <w:spacing w:before="150" w:after="150" w:line="255" w:lineRule="atLeast"/>
        <w:divId w:val="1239633528"/>
        <w:rPr>
          <w:rFonts w:ascii="Helvetica" w:hAnsi="Helvetica" w:cs="Times New Roman"/>
          <w:color w:val="333333"/>
          <w:sz w:val="20"/>
          <w:szCs w:val="20"/>
        </w:rPr>
      </w:pPr>
      <w:r w:rsidRPr="00B35B32">
        <w:rPr>
          <w:rFonts w:ascii="Helvetica" w:hAnsi="Helvetica" w:cs="Times New Roman"/>
          <w:color w:val="333333"/>
          <w:sz w:val="20"/>
          <w:szCs w:val="20"/>
        </w:rPr>
        <w:t>In 2003, Microsoft got a second chance to enter the online advertising business when some mid-level managers proposed buying Overture Services, an innovator in combining Internet searches with advertisements. This time, Ballmer, joined by Microsoft co-founder Bill Gates, decided not to pursue the idea because they thought Overture was overpriced. Shortly thereafter, Yahoo bought Overture for $1.6 billion.</w:t>
      </w:r>
    </w:p>
    <w:p w:rsidR="00B35B32" w:rsidRPr="00B35B32" w:rsidRDefault="00B35B32" w:rsidP="00B35B32">
      <w:pPr>
        <w:shd w:val="clear" w:color="auto" w:fill="E2F4FD"/>
        <w:spacing w:before="150" w:after="150" w:line="255" w:lineRule="atLeast"/>
        <w:divId w:val="1239633528"/>
        <w:rPr>
          <w:rFonts w:ascii="Helvetica" w:hAnsi="Helvetica" w:cs="Times New Roman"/>
          <w:color w:val="333333"/>
          <w:sz w:val="20"/>
          <w:szCs w:val="20"/>
        </w:rPr>
      </w:pPr>
      <w:r w:rsidRPr="00B35B32">
        <w:rPr>
          <w:rFonts w:ascii="Helvetica" w:hAnsi="Helvetica" w:cs="Times New Roman"/>
          <w:color w:val="333333"/>
          <w:sz w:val="20"/>
          <w:szCs w:val="20"/>
        </w:rPr>
        <w:t>Having missed two huge opportunities to pursue promising strategic initiatives that emerged from lower levels within the firm, Microsoft has been playing catch-up in online search and advertising ever since. In the summer of 2009, it launched its own search engine, Bing. Industry pundits joked that Bing is an acronym for "Because It’s Not Google," while Microsoft insists "Bing" is "the sound of found," as in "Bingo, I’ve got it!" Microsoft and Yahoo subsequently formed a strategic alliance, and Microsoft’s new search engine will also power Yahoo searches. These two strategic moves helped Microsoft increase its share in the lucrative online search business to roughly 20 percent, up from just over 8 percent. It seems unlikely, however, that this is sufficient to challenge Google’s dominance. In particular, Bing’s increase in market share of online searches is obtained at the expense of Yahoo’s, and not Google’s, market share.</w:t>
      </w:r>
    </w:p>
    <w:p w:rsidR="00B35B32" w:rsidRPr="00B35B32" w:rsidRDefault="00B35B32" w:rsidP="00B35B32">
      <w:pPr>
        <w:shd w:val="clear" w:color="auto" w:fill="E2F4FD"/>
        <w:spacing w:before="150" w:after="150" w:line="255" w:lineRule="atLeast"/>
        <w:divId w:val="1239633528"/>
        <w:rPr>
          <w:rFonts w:ascii="Helvetica" w:hAnsi="Helvetica" w:cs="Times New Roman"/>
          <w:color w:val="333333"/>
          <w:sz w:val="20"/>
          <w:szCs w:val="20"/>
        </w:rPr>
      </w:pPr>
      <w:r w:rsidRPr="00B35B32">
        <w:rPr>
          <w:rFonts w:ascii="Helvetica" w:hAnsi="Helvetica" w:cs="Times New Roman"/>
          <w:color w:val="333333"/>
          <w:sz w:val="20"/>
          <w:szCs w:val="20"/>
        </w:rPr>
        <w:t>Ballmer admitted problems in Microsoft’s structure and culture: "The biggest mistakes I claim I’ve been involved with are where I was impatient—because we didn’t have a business yet in something, we should have stayed patient. If we’d kept consistent with some of the ideas, we might have been in paid search. We are letting more flowers bloom."12 In the summer of 2014, Steve Ballmer, after 14 years at the helm of Microsoft, was replaced by Satya Nadella as new CEO.13</w:t>
      </w:r>
    </w:p>
    <w:p w:rsidR="00B35B32" w:rsidRPr="00B35B32" w:rsidRDefault="00B35B32" w:rsidP="00B35B32">
      <w:pPr>
        <w:spacing w:before="150" w:after="150" w:line="255" w:lineRule="atLeast"/>
        <w:divId w:val="2080517128"/>
        <w:rPr>
          <w:rFonts w:ascii="Helvetica" w:hAnsi="Helvetica" w:cs="Times New Roman"/>
          <w:color w:val="333333"/>
          <w:sz w:val="20"/>
          <w:szCs w:val="20"/>
        </w:rPr>
      </w:pPr>
      <w:r w:rsidRPr="00B35B32">
        <w:rPr>
          <w:rFonts w:ascii="Helvetica" w:hAnsi="Helvetica" w:cs="Times New Roman"/>
          <w:color w:val="333333"/>
          <w:sz w:val="20"/>
          <w:szCs w:val="20"/>
        </w:rPr>
        <w:t xml:space="preserve">Such a tightly coupled system is prone to break apart when external and internal shifts put pressure on the system.14 In Exhibit 11.2, inside the oval, the longer internal arrows show the firm’s tightly coupled organizational design over time. The shorter internal arrows indicate pressures radiating from internal shifts such as accelerated growth, a change in the business model, entry into new markets, a change in the top management team (TMT), or mergers and acquisitions. Accelerated growth, for example, was the reason for a decline in employee productivity, as discussed in the Zappos ChapterCase. The longest </w:t>
      </w:r>
      <w:r w:rsidRPr="00B35B32">
        <w:rPr>
          <w:rFonts w:ascii="Helvetica" w:hAnsi="Helvetica" w:cs="Times New Roman"/>
          <w:color w:val="333333"/>
          <w:sz w:val="20"/>
          <w:szCs w:val="20"/>
        </w:rPr>
        <w:lastRenderedPageBreak/>
        <w:t>arrows pointing into and piercing the boundary of the firm indicate external pressures, which can stem from any of the PESTEL forces (political, economic, sociocultural, technological, ecological, and legal, as discussed in Chapter 3). Strong external or internal pressure can break apart the current system, which may lead to firm failure. To avoid inertia and possible organizational failure, the firm needs a flexible and adaptive structure to effectively translate the formulated strategy into action. Ideally the firm would maintain a virtuous cycle of reconsidering organization, as implied by Option B earlier in the chapter.</w:t>
      </w:r>
    </w:p>
    <w:p w:rsidR="00B35B32" w:rsidRPr="00B35B32" w:rsidRDefault="00B35B32" w:rsidP="00B35B32">
      <w:pPr>
        <w:shd w:val="clear" w:color="auto" w:fill="FFFFFF"/>
        <w:jc w:val="center"/>
        <w:divId w:val="447630933"/>
        <w:rPr>
          <w:rFonts w:ascii="Verdana" w:eastAsia="Times New Roman" w:hAnsi="Verdana" w:cs="Times New Roman"/>
          <w:color w:val="333333"/>
          <w:sz w:val="14"/>
          <w:szCs w:val="14"/>
        </w:rPr>
      </w:pPr>
      <w:r w:rsidRPr="00B35B32">
        <w:rPr>
          <w:rFonts w:ascii="Verdana" w:eastAsia="Times New Roman" w:hAnsi="Verdana" w:cs="Times New Roman"/>
          <w:color w:val="333333"/>
          <w:sz w:val="14"/>
          <w:szCs w:val="14"/>
        </w:rPr>
        <w:t>Page 371</w:t>
      </w:r>
    </w:p>
    <w:p w:rsidR="00B35B32" w:rsidRPr="00B35B32" w:rsidRDefault="00B35B32" w:rsidP="00B35B32">
      <w:pPr>
        <w:spacing w:before="150" w:after="150" w:line="255" w:lineRule="atLeast"/>
        <w:divId w:val="2080517128"/>
        <w:rPr>
          <w:rFonts w:ascii="Helvetica" w:hAnsi="Helvetica" w:cs="Times New Roman"/>
          <w:color w:val="333333"/>
          <w:sz w:val="20"/>
          <w:szCs w:val="20"/>
        </w:rPr>
      </w:pPr>
      <w:r w:rsidRPr="00B35B32">
        <w:rPr>
          <w:rFonts w:ascii="Helvetica" w:hAnsi="Helvetica" w:cs="Times New Roman"/>
          <w:color w:val="333333"/>
          <w:sz w:val="20"/>
          <w:szCs w:val="20"/>
        </w:rPr>
        <w:t>Strategy Highlight 11.1 provides a case in point. It shows how Microsoft’s strategy and decision-making process were negatively affected by organizational inertia due to its success and dominance in the Windows-based PC world.</w:t>
      </w:r>
    </w:p>
    <w:p w:rsidR="00B35B32" w:rsidRPr="00B35B32" w:rsidRDefault="00B35B32" w:rsidP="00B35B32">
      <w:pPr>
        <w:divId w:val="308246803"/>
        <w:rPr>
          <w:rFonts w:ascii="Helvetica" w:eastAsia="Times New Roman" w:hAnsi="Helvetica" w:cs="Times New Roman"/>
          <w:color w:val="333333"/>
          <w:sz w:val="24"/>
          <w:szCs w:val="24"/>
        </w:rPr>
      </w:pPr>
      <w:r w:rsidRPr="00B35B32">
        <w:rPr>
          <w:rFonts w:ascii="Helvetica" w:eastAsia="Times New Roman" w:hAnsi="Helvetica" w:cs="Times New Roman"/>
          <w:b/>
          <w:bCs/>
          <w:color w:val="FFFFFF"/>
          <w:sz w:val="23"/>
          <w:szCs w:val="23"/>
          <w:shd w:val="clear" w:color="auto" w:fill="66854E"/>
        </w:rPr>
        <w:t>LO 11-3</w:t>
      </w:r>
    </w:p>
    <w:p w:rsidR="00B35B32" w:rsidRPr="00B35B32" w:rsidRDefault="00B35B32" w:rsidP="00B35B32">
      <w:pPr>
        <w:divId w:val="1173910093"/>
        <w:rPr>
          <w:rFonts w:ascii="Helvetica" w:eastAsia="Times New Roman" w:hAnsi="Helvetica" w:cs="Times New Roman"/>
          <w:color w:val="333333"/>
          <w:sz w:val="18"/>
          <w:szCs w:val="18"/>
        </w:rPr>
      </w:pPr>
      <w:r w:rsidRPr="00B35B32">
        <w:rPr>
          <w:rFonts w:ascii="Helvetica" w:eastAsia="Times New Roman" w:hAnsi="Helvetica" w:cs="Times New Roman"/>
          <w:color w:val="333333"/>
          <w:sz w:val="18"/>
          <w:szCs w:val="18"/>
        </w:rPr>
        <w:t>Define organizational structure and describe its four elements.</w:t>
      </w:r>
    </w:p>
    <w:p w:rsidR="00B35B32" w:rsidRPr="00B35B32" w:rsidRDefault="00B35B32" w:rsidP="00B35B32">
      <w:pPr>
        <w:spacing w:before="100" w:beforeAutospacing="1" w:after="100" w:afterAutospacing="1"/>
        <w:outlineLvl w:val="1"/>
        <w:divId w:val="101727117"/>
        <w:rPr>
          <w:rFonts w:ascii="Helvetica" w:eastAsia="Times New Roman" w:hAnsi="Helvetica" w:cs="Times New Roman"/>
          <w:b/>
          <w:bCs/>
          <w:color w:val="6C8958"/>
          <w:sz w:val="27"/>
          <w:szCs w:val="27"/>
        </w:rPr>
      </w:pPr>
      <w:r w:rsidRPr="00B35B32">
        <w:rPr>
          <w:rFonts w:ascii="Helvetica" w:eastAsia="Times New Roman" w:hAnsi="Helvetica" w:cs="Times New Roman"/>
          <w:b/>
          <w:bCs/>
          <w:color w:val="6C8958"/>
          <w:sz w:val="27"/>
          <w:szCs w:val="27"/>
        </w:rPr>
        <w:t>ORGANIZATIONAL STRUCTURE</w:t>
      </w:r>
    </w:p>
    <w:p w:rsidR="00B35B32" w:rsidRPr="00B35B32" w:rsidRDefault="00B35B32" w:rsidP="00B35B32">
      <w:pPr>
        <w:spacing w:before="150" w:after="150" w:line="255" w:lineRule="atLeast"/>
        <w:divId w:val="101727117"/>
        <w:rPr>
          <w:rFonts w:ascii="Helvetica" w:hAnsi="Helvetica" w:cs="Times New Roman"/>
          <w:color w:val="333333"/>
          <w:sz w:val="20"/>
          <w:szCs w:val="20"/>
        </w:rPr>
      </w:pPr>
      <w:r w:rsidRPr="00B35B32">
        <w:rPr>
          <w:rFonts w:ascii="Helvetica" w:hAnsi="Helvetica" w:cs="Times New Roman"/>
          <w:color w:val="333333"/>
          <w:sz w:val="20"/>
          <w:szCs w:val="20"/>
        </w:rPr>
        <w:t>Some of the key decisions managers must make when designing effective organizations pertain to the firm’s </w:t>
      </w:r>
      <w:r w:rsidRPr="00B35B32">
        <w:rPr>
          <w:rFonts w:ascii="Helvetica" w:hAnsi="Helvetica" w:cs="Times New Roman"/>
          <w:b/>
          <w:bCs/>
          <w:color w:val="333333"/>
          <w:sz w:val="20"/>
          <w:szCs w:val="20"/>
        </w:rPr>
        <w:t>organizational structure</w:t>
      </w:r>
      <w:r w:rsidRPr="00B35B32">
        <w:rPr>
          <w:rFonts w:ascii="Helvetica" w:hAnsi="Helvetica" w:cs="Times New Roman"/>
          <w:color w:val="333333"/>
          <w:sz w:val="20"/>
          <w:szCs w:val="20"/>
        </w:rPr>
        <w:t>. That structure determines how the work efforts of individuals and teams are orchestrated and how resources are distributed. In particular, an organizational structure defines how jobs and tasks are divided and integrated, delineates the reporting relationships up and down the hierarchy, defines formal communication channels, and prescribes how individuals and teams coordinate their work efforts. The key building blocks of an organizational structure are:</w:t>
      </w:r>
    </w:p>
    <w:p w:rsidR="00B35B32" w:rsidRPr="00B35B32" w:rsidRDefault="00B35B32" w:rsidP="00B35B32">
      <w:pPr>
        <w:numPr>
          <w:ilvl w:val="0"/>
          <w:numId w:val="1"/>
        </w:numPr>
        <w:spacing w:before="150" w:after="150" w:line="255" w:lineRule="atLeast"/>
        <w:ind w:left="450"/>
        <w:divId w:val="101727117"/>
        <w:rPr>
          <w:rFonts w:ascii="Helvetica" w:hAnsi="Helvetica" w:cs="Times New Roman"/>
          <w:color w:val="333333"/>
          <w:sz w:val="20"/>
          <w:szCs w:val="20"/>
        </w:rPr>
      </w:pPr>
      <w:r w:rsidRPr="00B35B32">
        <w:rPr>
          <w:rFonts w:ascii="Helvetica" w:hAnsi="Helvetica" w:cs="Times New Roman"/>
          <w:color w:val="333333"/>
          <w:sz w:val="20"/>
          <w:szCs w:val="20"/>
        </w:rPr>
        <w:t>Specialization</w:t>
      </w:r>
    </w:p>
    <w:p w:rsidR="00B35B32" w:rsidRPr="00B35B32" w:rsidRDefault="00B35B32" w:rsidP="00B35B32">
      <w:pPr>
        <w:numPr>
          <w:ilvl w:val="0"/>
          <w:numId w:val="1"/>
        </w:numPr>
        <w:spacing w:before="150" w:after="150" w:line="255" w:lineRule="atLeast"/>
        <w:ind w:left="450"/>
        <w:divId w:val="101727117"/>
        <w:rPr>
          <w:rFonts w:ascii="Helvetica" w:hAnsi="Helvetica" w:cs="Times New Roman"/>
          <w:color w:val="333333"/>
          <w:sz w:val="20"/>
          <w:szCs w:val="20"/>
        </w:rPr>
      </w:pPr>
      <w:r w:rsidRPr="00B35B32">
        <w:rPr>
          <w:rFonts w:ascii="Helvetica" w:hAnsi="Helvetica" w:cs="Times New Roman"/>
          <w:color w:val="333333"/>
          <w:sz w:val="20"/>
          <w:szCs w:val="20"/>
        </w:rPr>
        <w:t>Formalization</w:t>
      </w:r>
    </w:p>
    <w:p w:rsidR="00B35B32" w:rsidRPr="00B35B32" w:rsidRDefault="00B35B32" w:rsidP="00B35B32">
      <w:pPr>
        <w:numPr>
          <w:ilvl w:val="0"/>
          <w:numId w:val="1"/>
        </w:numPr>
        <w:spacing w:before="150" w:after="150" w:line="255" w:lineRule="atLeast"/>
        <w:ind w:left="450"/>
        <w:divId w:val="101727117"/>
        <w:rPr>
          <w:rFonts w:ascii="Helvetica" w:hAnsi="Helvetica" w:cs="Times New Roman"/>
          <w:color w:val="333333"/>
          <w:sz w:val="20"/>
          <w:szCs w:val="20"/>
        </w:rPr>
      </w:pPr>
      <w:r w:rsidRPr="00B35B32">
        <w:rPr>
          <w:rFonts w:ascii="Helvetica" w:hAnsi="Helvetica" w:cs="Times New Roman"/>
          <w:color w:val="333333"/>
          <w:sz w:val="20"/>
          <w:szCs w:val="20"/>
        </w:rPr>
        <w:t>Centralization</w:t>
      </w:r>
    </w:p>
    <w:p w:rsidR="00B35B32" w:rsidRPr="00B35B32" w:rsidRDefault="00B35B32" w:rsidP="00B35B32">
      <w:pPr>
        <w:numPr>
          <w:ilvl w:val="0"/>
          <w:numId w:val="1"/>
        </w:numPr>
        <w:spacing w:before="150" w:after="150" w:line="255" w:lineRule="atLeast"/>
        <w:ind w:left="450"/>
        <w:divId w:val="101727117"/>
        <w:rPr>
          <w:rFonts w:ascii="Helvetica" w:hAnsi="Helvetica" w:cs="Times New Roman"/>
          <w:color w:val="333333"/>
          <w:sz w:val="20"/>
          <w:szCs w:val="20"/>
        </w:rPr>
      </w:pPr>
      <w:r w:rsidRPr="00B35B32">
        <w:rPr>
          <w:rFonts w:ascii="Helvetica" w:hAnsi="Helvetica" w:cs="Times New Roman"/>
          <w:color w:val="333333"/>
          <w:sz w:val="20"/>
          <w:szCs w:val="20"/>
        </w:rPr>
        <w:t>Hierarchy</w:t>
      </w:r>
    </w:p>
    <w:p w:rsidR="00B35B32" w:rsidRPr="00B35B32" w:rsidRDefault="00B35B32" w:rsidP="00B35B32">
      <w:pPr>
        <w:spacing w:before="100" w:beforeAutospacing="1" w:after="100" w:afterAutospacing="1"/>
        <w:outlineLvl w:val="2"/>
        <w:divId w:val="788813905"/>
        <w:rPr>
          <w:rFonts w:ascii="Helvetica" w:eastAsia="Times New Roman" w:hAnsi="Helvetica" w:cs="Times New Roman"/>
          <w:b/>
          <w:bCs/>
          <w:color w:val="D5773D"/>
          <w:sz w:val="23"/>
          <w:szCs w:val="23"/>
        </w:rPr>
      </w:pPr>
      <w:r w:rsidRPr="00B35B32">
        <w:rPr>
          <w:rFonts w:ascii="Helvetica" w:eastAsia="Times New Roman" w:hAnsi="Helvetica" w:cs="Times New Roman"/>
          <w:b/>
          <w:bCs/>
          <w:color w:val="D5773D"/>
          <w:sz w:val="23"/>
          <w:szCs w:val="23"/>
        </w:rPr>
        <w:t>SPECIALIZATION.   </w:t>
      </w:r>
    </w:p>
    <w:p w:rsidR="00B35B32" w:rsidRPr="00B35B32" w:rsidRDefault="00B35B32" w:rsidP="00B35B32">
      <w:pPr>
        <w:spacing w:before="150" w:after="150" w:line="255" w:lineRule="atLeast"/>
        <w:divId w:val="788813905"/>
        <w:rPr>
          <w:rFonts w:ascii="Helvetica" w:hAnsi="Helvetica" w:cs="Times New Roman"/>
          <w:color w:val="333333"/>
          <w:sz w:val="20"/>
          <w:szCs w:val="20"/>
        </w:rPr>
      </w:pPr>
      <w:r w:rsidRPr="00B35B32">
        <w:rPr>
          <w:rFonts w:ascii="Helvetica" w:hAnsi="Helvetica" w:cs="Times New Roman"/>
          <w:b/>
          <w:bCs/>
          <w:color w:val="333333"/>
          <w:sz w:val="20"/>
          <w:szCs w:val="20"/>
        </w:rPr>
        <w:t>Specialization</w:t>
      </w:r>
      <w:r w:rsidRPr="00B35B32">
        <w:rPr>
          <w:rFonts w:ascii="Helvetica" w:hAnsi="Helvetica" w:cs="Times New Roman"/>
          <w:color w:val="333333"/>
          <w:sz w:val="20"/>
          <w:szCs w:val="20"/>
        </w:rPr>
        <w:t> describes the degree to which a task is divided into separate jobs—that is, the </w:t>
      </w:r>
      <w:r w:rsidRPr="00B35B32">
        <w:rPr>
          <w:rFonts w:ascii="Helvetica" w:hAnsi="Helvetica" w:cs="Times New Roman"/>
          <w:i/>
          <w:iCs/>
          <w:color w:val="333333"/>
          <w:sz w:val="20"/>
          <w:szCs w:val="20"/>
        </w:rPr>
        <w:t>division of labor.</w:t>
      </w:r>
      <w:r w:rsidRPr="00B35B32">
        <w:rPr>
          <w:rFonts w:ascii="Helvetica" w:hAnsi="Helvetica" w:cs="Times New Roman"/>
          <w:color w:val="333333"/>
          <w:sz w:val="20"/>
          <w:szCs w:val="20"/>
        </w:rPr>
        <w:t> Larger firms, such as Fortune 100 companies, tend to have a high degree of specialization; smaller entrepreneurial ventures tend to have a low degree of specialization. For example, an accountant for a large firm may specialize in only one area (e.g., internal audit), whereas an accountant in a small firm needs to be more of a generalist and take on many different things (e.g., internal auditing, plus payroll, accounts receivable, financial planning, and taxes). Specialization requires a trade-off between breadth and depth of knowledge. While a high degree of the division of labor increases productivity, it can also have unintended side-effects such as reduced employee job satisfaction due to repetition of tasks.</w:t>
      </w:r>
    </w:p>
    <w:p w:rsidR="00B35B32" w:rsidRPr="00B35B32" w:rsidRDefault="00B35B32" w:rsidP="00B35B32">
      <w:pPr>
        <w:spacing w:before="100" w:beforeAutospacing="1" w:after="100" w:afterAutospacing="1"/>
        <w:outlineLvl w:val="2"/>
        <w:divId w:val="1506702479"/>
        <w:rPr>
          <w:rFonts w:ascii="Helvetica" w:eastAsia="Times New Roman" w:hAnsi="Helvetica" w:cs="Times New Roman"/>
          <w:b/>
          <w:bCs/>
          <w:color w:val="D5773D"/>
          <w:sz w:val="23"/>
          <w:szCs w:val="23"/>
        </w:rPr>
      </w:pPr>
      <w:r w:rsidRPr="00B35B32">
        <w:rPr>
          <w:rFonts w:ascii="Helvetica" w:eastAsia="Times New Roman" w:hAnsi="Helvetica" w:cs="Times New Roman"/>
          <w:b/>
          <w:bCs/>
          <w:color w:val="D5773D"/>
          <w:sz w:val="23"/>
          <w:szCs w:val="23"/>
        </w:rPr>
        <w:t>FORMALIZATION.   </w:t>
      </w:r>
    </w:p>
    <w:p w:rsidR="00B35B32" w:rsidRPr="00B35B32" w:rsidRDefault="00B35B32" w:rsidP="00B35B32">
      <w:pPr>
        <w:spacing w:before="150" w:after="150" w:line="255" w:lineRule="atLeast"/>
        <w:divId w:val="1506702479"/>
        <w:rPr>
          <w:rFonts w:ascii="Helvetica" w:hAnsi="Helvetica" w:cs="Times New Roman"/>
          <w:color w:val="333333"/>
          <w:sz w:val="20"/>
          <w:szCs w:val="20"/>
        </w:rPr>
      </w:pPr>
      <w:r w:rsidRPr="00B35B32">
        <w:rPr>
          <w:rFonts w:ascii="Helvetica" w:hAnsi="Helvetica" w:cs="Times New Roman"/>
          <w:b/>
          <w:bCs/>
          <w:color w:val="333333"/>
          <w:sz w:val="20"/>
          <w:szCs w:val="20"/>
        </w:rPr>
        <w:t>Formalization</w:t>
      </w:r>
      <w:r w:rsidRPr="00B35B32">
        <w:rPr>
          <w:rFonts w:ascii="Helvetica" w:hAnsi="Helvetica" w:cs="Times New Roman"/>
          <w:color w:val="333333"/>
          <w:sz w:val="20"/>
          <w:szCs w:val="20"/>
        </w:rPr>
        <w:t> captures the extent to which employee behavior is steered by explicit and codified rules and procedures. Formalized structures are characterized by detailed written rules and policies of what to do in specific situations. These are often codified in employee handbooks. McDonald’s, for example, uses detailed standard operating procedures throughout the world to ensure consistent quality and service.</w:t>
      </w:r>
    </w:p>
    <w:p w:rsidR="00B35B32" w:rsidRPr="00B35B32" w:rsidRDefault="00B35B32" w:rsidP="00B35B32">
      <w:pPr>
        <w:spacing w:before="150" w:after="150" w:line="255" w:lineRule="atLeast"/>
        <w:divId w:val="983269224"/>
        <w:rPr>
          <w:rFonts w:ascii="Helvetica" w:hAnsi="Helvetica" w:cs="Times New Roman"/>
          <w:color w:val="333333"/>
          <w:sz w:val="20"/>
          <w:szCs w:val="20"/>
        </w:rPr>
      </w:pPr>
      <w:r w:rsidRPr="00B35B32">
        <w:rPr>
          <w:rFonts w:ascii="Helvetica" w:hAnsi="Helvetica" w:cs="Times New Roman"/>
          <w:color w:val="333333"/>
          <w:sz w:val="20"/>
          <w:szCs w:val="20"/>
        </w:rPr>
        <w:lastRenderedPageBreak/>
        <w:t>Formalization, therefore, is not necessarily negative; often it is necessary to achieve consistent and predictable results. Airlines, for instance, must rely on a high degree of formalization to instruct pilots on how to fly their airplanes in order to ensure safety and reliability. Yet a high degree of formalization can slow decision making, reduce creativity and innovation, and hinder customer service.15 Most customer service reps in call centers, for example, follow a detailed script. This is especially true when call centers are outsourced to overseas locations. Zappos deliberately avoided this approach when it made customer service its core competency.</w:t>
      </w:r>
    </w:p>
    <w:p w:rsidR="00B35B32" w:rsidRPr="00B35B32" w:rsidRDefault="00B35B32" w:rsidP="00B35B32">
      <w:pPr>
        <w:shd w:val="clear" w:color="auto" w:fill="FFFFFF"/>
        <w:jc w:val="center"/>
        <w:divId w:val="1496259956"/>
        <w:rPr>
          <w:rFonts w:ascii="Verdana" w:eastAsia="Times New Roman" w:hAnsi="Verdana" w:cs="Times New Roman"/>
          <w:color w:val="333333"/>
          <w:sz w:val="14"/>
          <w:szCs w:val="14"/>
        </w:rPr>
      </w:pPr>
      <w:r w:rsidRPr="00B35B32">
        <w:rPr>
          <w:rFonts w:ascii="Verdana" w:eastAsia="Times New Roman" w:hAnsi="Verdana" w:cs="Times New Roman"/>
          <w:color w:val="333333"/>
          <w:sz w:val="14"/>
          <w:szCs w:val="14"/>
        </w:rPr>
        <w:t>Page 372</w:t>
      </w:r>
    </w:p>
    <w:p w:rsidR="00B35B32" w:rsidRPr="00B35B32" w:rsidRDefault="00B35B32" w:rsidP="00B35B32">
      <w:pPr>
        <w:spacing w:before="100" w:beforeAutospacing="1" w:after="100" w:afterAutospacing="1"/>
        <w:outlineLvl w:val="2"/>
        <w:divId w:val="1881549610"/>
        <w:rPr>
          <w:rFonts w:ascii="Helvetica" w:eastAsia="Times New Roman" w:hAnsi="Helvetica" w:cs="Times New Roman"/>
          <w:b/>
          <w:bCs/>
          <w:color w:val="D5773D"/>
          <w:sz w:val="23"/>
          <w:szCs w:val="23"/>
        </w:rPr>
      </w:pPr>
      <w:r w:rsidRPr="00B35B32">
        <w:rPr>
          <w:rFonts w:ascii="Helvetica" w:eastAsia="Times New Roman" w:hAnsi="Helvetica" w:cs="Times New Roman"/>
          <w:b/>
          <w:bCs/>
          <w:color w:val="D5773D"/>
          <w:sz w:val="23"/>
          <w:szCs w:val="23"/>
        </w:rPr>
        <w:t>CENTRALIZATION.   </w:t>
      </w:r>
    </w:p>
    <w:p w:rsidR="00B35B32" w:rsidRPr="00B35B32" w:rsidRDefault="00B35B32" w:rsidP="00B35B32">
      <w:pPr>
        <w:spacing w:before="150" w:after="150" w:line="255" w:lineRule="atLeast"/>
        <w:divId w:val="1881549610"/>
        <w:rPr>
          <w:rFonts w:ascii="Helvetica" w:hAnsi="Helvetica" w:cs="Times New Roman"/>
          <w:color w:val="333333"/>
          <w:sz w:val="20"/>
          <w:szCs w:val="20"/>
        </w:rPr>
      </w:pPr>
      <w:r w:rsidRPr="00B35B32">
        <w:rPr>
          <w:rFonts w:ascii="Helvetica" w:hAnsi="Helvetica" w:cs="Times New Roman"/>
          <w:b/>
          <w:bCs/>
          <w:color w:val="333333"/>
          <w:sz w:val="20"/>
          <w:szCs w:val="20"/>
        </w:rPr>
        <w:t>Centralization</w:t>
      </w:r>
      <w:r w:rsidRPr="00B35B32">
        <w:rPr>
          <w:rFonts w:ascii="Helvetica" w:hAnsi="Helvetica" w:cs="Times New Roman"/>
          <w:color w:val="333333"/>
          <w:sz w:val="20"/>
          <w:szCs w:val="20"/>
        </w:rPr>
        <w:t> refers to the degree to which decision making is concentrated at the top of the organization. Centralized decision making often correlates with slow response time and reduced customer satisfaction. In decentralized organizations such as Zappos, decisions are made and problems solved by empowered lower-level employees who are closer to the sources of issues.</w:t>
      </w:r>
    </w:p>
    <w:p w:rsidR="00B35B32" w:rsidRPr="00B35B32" w:rsidRDefault="00B35B32" w:rsidP="00B35B32">
      <w:pPr>
        <w:spacing w:before="150" w:after="150" w:line="255" w:lineRule="atLeast"/>
        <w:divId w:val="182208898"/>
        <w:rPr>
          <w:rFonts w:ascii="Helvetica" w:hAnsi="Helvetica" w:cs="Times New Roman"/>
          <w:color w:val="333333"/>
          <w:sz w:val="20"/>
          <w:szCs w:val="20"/>
        </w:rPr>
      </w:pPr>
      <w:r w:rsidRPr="00B35B32">
        <w:rPr>
          <w:rFonts w:ascii="Helvetica" w:hAnsi="Helvetica" w:cs="Times New Roman"/>
          <w:color w:val="333333"/>
          <w:sz w:val="20"/>
          <w:szCs w:val="20"/>
        </w:rPr>
        <w:t>Different strategic management processes (discussed in Chapter 2) match with different degrees of centralization:</w:t>
      </w:r>
    </w:p>
    <w:p w:rsidR="00B35B32" w:rsidRPr="00B35B32" w:rsidRDefault="00B35B32" w:rsidP="00B35B32">
      <w:pPr>
        <w:numPr>
          <w:ilvl w:val="0"/>
          <w:numId w:val="2"/>
        </w:numPr>
        <w:spacing w:before="150" w:after="150" w:line="255" w:lineRule="atLeast"/>
        <w:ind w:left="450"/>
        <w:divId w:val="182208898"/>
        <w:rPr>
          <w:rFonts w:ascii="Helvetica" w:hAnsi="Helvetica" w:cs="Times New Roman"/>
          <w:color w:val="333333"/>
          <w:sz w:val="20"/>
          <w:szCs w:val="20"/>
        </w:rPr>
      </w:pPr>
      <w:r w:rsidRPr="00B35B32">
        <w:rPr>
          <w:rFonts w:ascii="Helvetica" w:hAnsi="Helvetica" w:cs="Times New Roman"/>
          <w:color w:val="333333"/>
          <w:sz w:val="20"/>
          <w:szCs w:val="20"/>
        </w:rPr>
        <w:t>Top-down strategic planning takes place in highly centralized organizations.</w:t>
      </w:r>
    </w:p>
    <w:p w:rsidR="00B35B32" w:rsidRPr="00B35B32" w:rsidRDefault="00B35B32" w:rsidP="00B35B32">
      <w:pPr>
        <w:numPr>
          <w:ilvl w:val="0"/>
          <w:numId w:val="2"/>
        </w:numPr>
        <w:spacing w:before="150" w:after="150" w:line="255" w:lineRule="atLeast"/>
        <w:ind w:left="450"/>
        <w:divId w:val="182208898"/>
        <w:rPr>
          <w:rFonts w:ascii="Helvetica" w:hAnsi="Helvetica" w:cs="Times New Roman"/>
          <w:color w:val="333333"/>
          <w:sz w:val="20"/>
          <w:szCs w:val="20"/>
        </w:rPr>
      </w:pPr>
      <w:r w:rsidRPr="00B35B32">
        <w:rPr>
          <w:rFonts w:ascii="Helvetica" w:hAnsi="Helvetica" w:cs="Times New Roman"/>
          <w:color w:val="333333"/>
          <w:sz w:val="20"/>
          <w:szCs w:val="20"/>
        </w:rPr>
        <w:t>Planned emergence is found in more decentralized organizations.</w:t>
      </w:r>
    </w:p>
    <w:p w:rsidR="00B35B32" w:rsidRPr="00B35B32" w:rsidRDefault="00B35B32" w:rsidP="00B35B32">
      <w:pPr>
        <w:spacing w:before="150" w:after="150" w:line="255" w:lineRule="atLeast"/>
        <w:divId w:val="182208898"/>
        <w:rPr>
          <w:rFonts w:ascii="Helvetica" w:hAnsi="Helvetica" w:cs="Times New Roman"/>
          <w:color w:val="333333"/>
          <w:sz w:val="20"/>
          <w:szCs w:val="20"/>
        </w:rPr>
      </w:pPr>
      <w:r w:rsidRPr="00B35B32">
        <w:rPr>
          <w:rFonts w:ascii="Helvetica" w:hAnsi="Helvetica" w:cs="Times New Roman"/>
          <w:color w:val="333333"/>
          <w:sz w:val="20"/>
          <w:szCs w:val="20"/>
        </w:rPr>
        <w:t>Whether centralization or decentralization is more effective depends on the specific situation. During the Gulf of Mexico oil spill in 2010, BP’s response was slow and cumbersome because key decisions were initially made in its UK headquarters and not onsite. In this case, centralization reduced response time and led to a prolonged crisis. In contrast, the FBI and the CIA were faulted in the 9/11 Commission Report for </w:t>
      </w:r>
      <w:r w:rsidRPr="00B35B32">
        <w:rPr>
          <w:rFonts w:ascii="Helvetica" w:hAnsi="Helvetica" w:cs="Times New Roman"/>
          <w:i/>
          <w:iCs/>
          <w:color w:val="333333"/>
          <w:sz w:val="20"/>
          <w:szCs w:val="20"/>
        </w:rPr>
        <w:t>not being centralized enough.</w:t>
      </w:r>
      <w:r w:rsidRPr="00B35B32">
        <w:rPr>
          <w:rFonts w:ascii="Helvetica" w:hAnsi="Helvetica" w:cs="Times New Roman"/>
          <w:color w:val="333333"/>
          <w:sz w:val="20"/>
          <w:szCs w:val="20"/>
        </w:rPr>
        <w:t>16 The report concluded that although each agency had different types of evidence that a terrorist strike in the United States was imminent, their decentralization made them unable to put together the pieces to prevent the 9/11 attacks.</w:t>
      </w:r>
    </w:p>
    <w:p w:rsidR="00B35B32" w:rsidRPr="00B35B32" w:rsidRDefault="00B35B32" w:rsidP="00B35B32">
      <w:pPr>
        <w:spacing w:before="100" w:beforeAutospacing="1" w:after="100" w:afterAutospacing="1"/>
        <w:outlineLvl w:val="2"/>
        <w:divId w:val="804735423"/>
        <w:rPr>
          <w:rFonts w:ascii="Helvetica" w:eastAsia="Times New Roman" w:hAnsi="Helvetica" w:cs="Times New Roman"/>
          <w:b/>
          <w:bCs/>
          <w:color w:val="D5773D"/>
          <w:sz w:val="23"/>
          <w:szCs w:val="23"/>
        </w:rPr>
      </w:pPr>
      <w:r w:rsidRPr="00B35B32">
        <w:rPr>
          <w:rFonts w:ascii="Helvetica" w:eastAsia="Times New Roman" w:hAnsi="Helvetica" w:cs="Times New Roman"/>
          <w:b/>
          <w:bCs/>
          <w:color w:val="D5773D"/>
          <w:sz w:val="23"/>
          <w:szCs w:val="23"/>
        </w:rPr>
        <w:t>HIERARCHY.   </w:t>
      </w:r>
    </w:p>
    <w:p w:rsidR="00B35B32" w:rsidRPr="00B35B32" w:rsidRDefault="00B35B32" w:rsidP="00B35B32">
      <w:pPr>
        <w:spacing w:before="150" w:after="150" w:line="255" w:lineRule="atLeast"/>
        <w:divId w:val="804735423"/>
        <w:rPr>
          <w:rFonts w:ascii="Helvetica" w:hAnsi="Helvetica" w:cs="Times New Roman"/>
          <w:color w:val="333333"/>
          <w:sz w:val="20"/>
          <w:szCs w:val="20"/>
        </w:rPr>
      </w:pPr>
      <w:r w:rsidRPr="00B35B32">
        <w:rPr>
          <w:rFonts w:ascii="Helvetica" w:hAnsi="Helvetica" w:cs="Times New Roman"/>
          <w:b/>
          <w:bCs/>
          <w:color w:val="333333"/>
          <w:sz w:val="20"/>
          <w:szCs w:val="20"/>
        </w:rPr>
        <w:t>Hierarchy</w:t>
      </w:r>
      <w:r w:rsidRPr="00B35B32">
        <w:rPr>
          <w:rFonts w:ascii="Helvetica" w:hAnsi="Helvetica" w:cs="Times New Roman"/>
          <w:color w:val="333333"/>
          <w:sz w:val="20"/>
          <w:szCs w:val="20"/>
        </w:rPr>
        <w:t> determines the formal, position-based reporting lines and thus stipulates </w:t>
      </w:r>
      <w:r w:rsidRPr="00B35B32">
        <w:rPr>
          <w:rFonts w:ascii="Helvetica" w:hAnsi="Helvetica" w:cs="Times New Roman"/>
          <w:i/>
          <w:iCs/>
          <w:color w:val="333333"/>
          <w:sz w:val="20"/>
          <w:szCs w:val="20"/>
        </w:rPr>
        <w:t>who reports to whom.</w:t>
      </w:r>
      <w:r w:rsidRPr="00B35B32">
        <w:rPr>
          <w:rFonts w:ascii="Helvetica" w:hAnsi="Helvetica" w:cs="Times New Roman"/>
          <w:color w:val="333333"/>
          <w:sz w:val="20"/>
          <w:szCs w:val="20"/>
        </w:rPr>
        <w:t> Let’s assume two firms of roughly equal size: Firm A and Firm B. If many levels of hierarchy exist between the frontline employee and the CEO in Firm A, it has a </w:t>
      </w:r>
      <w:r w:rsidRPr="00B35B32">
        <w:rPr>
          <w:rFonts w:ascii="Helvetica" w:hAnsi="Helvetica" w:cs="Times New Roman"/>
          <w:i/>
          <w:iCs/>
          <w:color w:val="333333"/>
          <w:sz w:val="20"/>
          <w:szCs w:val="20"/>
        </w:rPr>
        <w:t>tall structure.</w:t>
      </w:r>
      <w:r w:rsidRPr="00B35B32">
        <w:rPr>
          <w:rFonts w:ascii="Helvetica" w:hAnsi="Helvetica" w:cs="Times New Roman"/>
          <w:color w:val="333333"/>
          <w:sz w:val="20"/>
          <w:szCs w:val="20"/>
        </w:rPr>
        <w:t> In contrast, if there are few levels of hierarchy in Firm B, it has a </w:t>
      </w:r>
      <w:r w:rsidRPr="00B35B32">
        <w:rPr>
          <w:rFonts w:ascii="Helvetica" w:hAnsi="Helvetica" w:cs="Times New Roman"/>
          <w:i/>
          <w:iCs/>
          <w:color w:val="333333"/>
          <w:sz w:val="20"/>
          <w:szCs w:val="20"/>
        </w:rPr>
        <w:t>flat structure.</w:t>
      </w:r>
    </w:p>
    <w:p w:rsidR="00B35B32" w:rsidRPr="00B35B32" w:rsidRDefault="00B35B32" w:rsidP="00B35B32">
      <w:pPr>
        <w:spacing w:before="150" w:after="150" w:line="255" w:lineRule="atLeast"/>
        <w:divId w:val="928124842"/>
        <w:rPr>
          <w:rFonts w:ascii="Helvetica" w:hAnsi="Helvetica" w:cs="Times New Roman"/>
          <w:color w:val="333333"/>
          <w:sz w:val="20"/>
          <w:szCs w:val="20"/>
        </w:rPr>
      </w:pPr>
      <w:r w:rsidRPr="00B35B32">
        <w:rPr>
          <w:rFonts w:ascii="Helvetica" w:hAnsi="Helvetica" w:cs="Times New Roman"/>
          <w:color w:val="333333"/>
          <w:sz w:val="20"/>
          <w:szCs w:val="20"/>
        </w:rPr>
        <w:t>The number of levels of hierarchy, in turn, determines the managers’ </w:t>
      </w:r>
      <w:r w:rsidRPr="00B35B32">
        <w:rPr>
          <w:rFonts w:ascii="Helvetica" w:hAnsi="Helvetica" w:cs="Times New Roman"/>
          <w:b/>
          <w:bCs/>
          <w:color w:val="333333"/>
          <w:sz w:val="20"/>
          <w:szCs w:val="20"/>
        </w:rPr>
        <w:t>span of control</w:t>
      </w:r>
      <w:r w:rsidRPr="00B35B32">
        <w:rPr>
          <w:rFonts w:ascii="Helvetica" w:hAnsi="Helvetica" w:cs="Times New Roman"/>
          <w:color w:val="333333"/>
          <w:sz w:val="20"/>
          <w:szCs w:val="20"/>
        </w:rPr>
        <w:t>—how many employees directly report to a manager. In tall organizational structures (Firm A), the span of control is narrow. In flat structures (Firm B), the span of control is wide, meaning one manager supervises many employees. In recent years, firms have de-layered by reducing the headcount (often middle managers), making themselves flatter and more nimble. This, however, puts more pressure on the remaining managers who have to supervise and monitor more direct reports due to an increased span of control.17 Recent research suggests that managers are most effective at an intermediate point where the span of control is not too narrow or too wide.18</w:t>
      </w:r>
    </w:p>
    <w:p w:rsidR="00B35B32" w:rsidRPr="00B35B32" w:rsidRDefault="00B35B32" w:rsidP="00B35B32">
      <w:pPr>
        <w:divId w:val="346030286"/>
        <w:rPr>
          <w:rFonts w:ascii="Helvetica" w:eastAsia="Times New Roman" w:hAnsi="Helvetica" w:cs="Times New Roman"/>
          <w:color w:val="333333"/>
          <w:sz w:val="24"/>
          <w:szCs w:val="24"/>
        </w:rPr>
      </w:pPr>
      <w:r w:rsidRPr="00B35B32">
        <w:rPr>
          <w:rFonts w:ascii="Helvetica" w:eastAsia="Times New Roman" w:hAnsi="Helvetica" w:cs="Times New Roman"/>
          <w:b/>
          <w:bCs/>
          <w:color w:val="FFFFFF"/>
          <w:sz w:val="23"/>
          <w:szCs w:val="23"/>
          <w:shd w:val="clear" w:color="auto" w:fill="66854E"/>
        </w:rPr>
        <w:t>LO 11-4</w:t>
      </w:r>
    </w:p>
    <w:p w:rsidR="00B35B32" w:rsidRPr="00B35B32" w:rsidRDefault="00B35B32" w:rsidP="00B35B32">
      <w:pPr>
        <w:divId w:val="846289600"/>
        <w:rPr>
          <w:rFonts w:ascii="Helvetica" w:eastAsia="Times New Roman" w:hAnsi="Helvetica" w:cs="Times New Roman"/>
          <w:color w:val="333333"/>
          <w:sz w:val="18"/>
          <w:szCs w:val="18"/>
        </w:rPr>
      </w:pPr>
      <w:r w:rsidRPr="00B35B32">
        <w:rPr>
          <w:rFonts w:ascii="Helvetica" w:eastAsia="Times New Roman" w:hAnsi="Helvetica" w:cs="Times New Roman"/>
          <w:color w:val="333333"/>
          <w:sz w:val="18"/>
          <w:szCs w:val="18"/>
        </w:rPr>
        <w:t>Compare and contrast mechanistic versus organic organizations.</w:t>
      </w:r>
    </w:p>
    <w:p w:rsidR="00B35B32" w:rsidRPr="00B35B32" w:rsidRDefault="00B35B32" w:rsidP="00B35B32">
      <w:pPr>
        <w:spacing w:before="100" w:beforeAutospacing="1" w:after="100" w:afterAutospacing="1"/>
        <w:outlineLvl w:val="1"/>
        <w:divId w:val="1607227305"/>
        <w:rPr>
          <w:rFonts w:ascii="Helvetica" w:eastAsia="Times New Roman" w:hAnsi="Helvetica" w:cs="Times New Roman"/>
          <w:b/>
          <w:bCs/>
          <w:color w:val="6C8958"/>
          <w:sz w:val="27"/>
          <w:szCs w:val="27"/>
        </w:rPr>
      </w:pPr>
      <w:r w:rsidRPr="00B35B32">
        <w:rPr>
          <w:rFonts w:ascii="Helvetica" w:eastAsia="Times New Roman" w:hAnsi="Helvetica" w:cs="Times New Roman"/>
          <w:b/>
          <w:bCs/>
          <w:color w:val="6C8958"/>
          <w:sz w:val="27"/>
          <w:szCs w:val="27"/>
        </w:rPr>
        <w:lastRenderedPageBreak/>
        <w:t>MECHANISTIC VS. ORGANIC ORGANIZATIONS</w:t>
      </w:r>
    </w:p>
    <w:p w:rsidR="00B35B32" w:rsidRPr="00B35B32" w:rsidRDefault="00B35B32" w:rsidP="00B35B32">
      <w:pPr>
        <w:spacing w:before="150" w:after="150" w:line="255" w:lineRule="atLeast"/>
        <w:divId w:val="1607227305"/>
        <w:rPr>
          <w:rFonts w:ascii="Helvetica" w:hAnsi="Helvetica" w:cs="Times New Roman"/>
          <w:color w:val="333333"/>
          <w:sz w:val="20"/>
          <w:szCs w:val="20"/>
        </w:rPr>
      </w:pPr>
      <w:r w:rsidRPr="00B35B32">
        <w:rPr>
          <w:rFonts w:ascii="Helvetica" w:hAnsi="Helvetica" w:cs="Times New Roman"/>
          <w:color w:val="333333"/>
          <w:sz w:val="20"/>
          <w:szCs w:val="20"/>
        </w:rPr>
        <w:t>Several of the building blocks of organizational structure frequently appear together, creating distinct organizational forms—mechanistic or organic organizations.19</w:t>
      </w:r>
    </w:p>
    <w:p w:rsidR="00B35B32" w:rsidRPr="00B35B32" w:rsidRDefault="00B35B32" w:rsidP="00B35B32">
      <w:pPr>
        <w:spacing w:before="100" w:beforeAutospacing="1" w:after="100" w:afterAutospacing="1"/>
        <w:outlineLvl w:val="2"/>
        <w:divId w:val="1990211514"/>
        <w:rPr>
          <w:rFonts w:ascii="Helvetica" w:eastAsia="Times New Roman" w:hAnsi="Helvetica" w:cs="Times New Roman"/>
          <w:b/>
          <w:bCs/>
          <w:color w:val="D5773D"/>
          <w:sz w:val="23"/>
          <w:szCs w:val="23"/>
        </w:rPr>
      </w:pPr>
      <w:r w:rsidRPr="00B35B32">
        <w:rPr>
          <w:rFonts w:ascii="Helvetica" w:eastAsia="Times New Roman" w:hAnsi="Helvetica" w:cs="Times New Roman"/>
          <w:b/>
          <w:bCs/>
          <w:color w:val="D5773D"/>
          <w:sz w:val="23"/>
          <w:szCs w:val="23"/>
        </w:rPr>
        <w:t>MECHANISTIC ORGANIZATIONS.   </w:t>
      </w:r>
    </w:p>
    <w:p w:rsidR="00B35B32" w:rsidRPr="00B35B32" w:rsidRDefault="00B35B32" w:rsidP="00B35B32">
      <w:pPr>
        <w:spacing w:before="150" w:after="150" w:line="255" w:lineRule="atLeast"/>
        <w:divId w:val="1990211514"/>
        <w:rPr>
          <w:rFonts w:ascii="Helvetica" w:hAnsi="Helvetica" w:cs="Times New Roman"/>
          <w:color w:val="333333"/>
          <w:sz w:val="20"/>
          <w:szCs w:val="20"/>
        </w:rPr>
      </w:pPr>
      <w:r w:rsidRPr="00B35B32">
        <w:rPr>
          <w:rFonts w:ascii="Helvetica" w:hAnsi="Helvetica" w:cs="Times New Roman"/>
          <w:b/>
          <w:bCs/>
          <w:color w:val="333333"/>
          <w:sz w:val="20"/>
          <w:szCs w:val="20"/>
        </w:rPr>
        <w:t xml:space="preserve">Mechanistic </w:t>
      </w:r>
      <w:proofErr w:type="spellStart"/>
      <w:r w:rsidRPr="00B35B32">
        <w:rPr>
          <w:rFonts w:ascii="Helvetica" w:hAnsi="Helvetica" w:cs="Times New Roman"/>
          <w:b/>
          <w:bCs/>
          <w:color w:val="333333"/>
          <w:sz w:val="20"/>
          <w:szCs w:val="20"/>
        </w:rPr>
        <w:t>organizations</w:t>
      </w:r>
      <w:r w:rsidRPr="00B35B32">
        <w:rPr>
          <w:rFonts w:ascii="Helvetica" w:hAnsi="Helvetica" w:cs="Times New Roman"/>
          <w:color w:val="333333"/>
          <w:sz w:val="20"/>
          <w:szCs w:val="20"/>
        </w:rPr>
        <w:t>are</w:t>
      </w:r>
      <w:proofErr w:type="spellEnd"/>
      <w:r w:rsidRPr="00B35B32">
        <w:rPr>
          <w:rFonts w:ascii="Helvetica" w:hAnsi="Helvetica" w:cs="Times New Roman"/>
          <w:color w:val="333333"/>
          <w:sz w:val="20"/>
          <w:szCs w:val="20"/>
        </w:rPr>
        <w:t xml:space="preserve"> characterized by a high degree of specialization and formalization and by a tall hierarchy that relies on centralized decision making. The fast food chain McDonald’s fits this description quite well. Each step of every job such as deep-frying fries is documented in minute detail (e.g., what kind of vat, the quantity of oil, how many fries, what temperature, how long, and so on). Decision power is centralized at the top of the organization: McDonald’s headquarters provides detailed instructions to each of its franchisees so that they provide comparable quality and service across the board although with some local menu variations. Communication and authority lines are top-down and well defined. To ensure standardized operating procedures and consistent food quality throughout the world, McDonald’s operates Hamburger University, a state-of-the-art teaching facility in a Chicago suburb, where 50 full-time instructors teach courses in chemistry, food preparation, and marketing. In 2010, McDonald’s opened a second Hamburger University campus in Shanghai, China. Mechanistic structures allow for standardization and economies of scale, and often are used when the firm pursues a cost-leadership strategy at the business level.</w:t>
      </w:r>
    </w:p>
    <w:p w:rsidR="00B35B32" w:rsidRPr="00B35B32" w:rsidRDefault="00B35B32" w:rsidP="00B35B32">
      <w:pPr>
        <w:shd w:val="clear" w:color="auto" w:fill="FFFFFF"/>
        <w:jc w:val="center"/>
        <w:divId w:val="793132386"/>
        <w:rPr>
          <w:rFonts w:ascii="Verdana" w:eastAsia="Times New Roman" w:hAnsi="Verdana" w:cs="Times New Roman"/>
          <w:color w:val="333333"/>
          <w:sz w:val="14"/>
          <w:szCs w:val="14"/>
        </w:rPr>
      </w:pPr>
      <w:r w:rsidRPr="00B35B32">
        <w:rPr>
          <w:rFonts w:ascii="Verdana" w:eastAsia="Times New Roman" w:hAnsi="Verdana" w:cs="Times New Roman"/>
          <w:color w:val="333333"/>
          <w:sz w:val="14"/>
          <w:szCs w:val="14"/>
        </w:rPr>
        <w:t>Page 373</w:t>
      </w:r>
    </w:p>
    <w:p w:rsidR="00B35B32" w:rsidRPr="00B35B32" w:rsidRDefault="00B35B32" w:rsidP="00B35B32">
      <w:pPr>
        <w:spacing w:before="100" w:beforeAutospacing="1" w:after="100" w:afterAutospacing="1"/>
        <w:outlineLvl w:val="2"/>
        <w:divId w:val="228536683"/>
        <w:rPr>
          <w:rFonts w:ascii="Helvetica" w:eastAsia="Times New Roman" w:hAnsi="Helvetica" w:cs="Times New Roman"/>
          <w:b/>
          <w:bCs/>
          <w:color w:val="D5773D"/>
          <w:sz w:val="23"/>
          <w:szCs w:val="23"/>
        </w:rPr>
      </w:pPr>
      <w:r w:rsidRPr="00B35B32">
        <w:rPr>
          <w:rFonts w:ascii="Helvetica" w:eastAsia="Times New Roman" w:hAnsi="Helvetica" w:cs="Times New Roman"/>
          <w:b/>
          <w:bCs/>
          <w:color w:val="D5773D"/>
          <w:sz w:val="23"/>
          <w:szCs w:val="23"/>
        </w:rPr>
        <w:t>ORGANIC ORGANIZATIONS.   </w:t>
      </w:r>
    </w:p>
    <w:p w:rsidR="00B35B32" w:rsidRPr="00B35B32" w:rsidRDefault="00B35B32" w:rsidP="00B35B32">
      <w:pPr>
        <w:spacing w:before="150" w:after="150" w:line="255" w:lineRule="atLeast"/>
        <w:divId w:val="228536683"/>
        <w:rPr>
          <w:rFonts w:ascii="Helvetica" w:hAnsi="Helvetica" w:cs="Times New Roman"/>
          <w:color w:val="333333"/>
          <w:sz w:val="20"/>
          <w:szCs w:val="20"/>
        </w:rPr>
      </w:pPr>
      <w:r w:rsidRPr="00B35B32">
        <w:rPr>
          <w:rFonts w:ascii="Helvetica" w:hAnsi="Helvetica" w:cs="Times New Roman"/>
          <w:b/>
          <w:bCs/>
          <w:color w:val="333333"/>
          <w:sz w:val="20"/>
          <w:szCs w:val="20"/>
        </w:rPr>
        <w:t>Organic organizations</w:t>
      </w:r>
      <w:r w:rsidRPr="00B35B32">
        <w:rPr>
          <w:rFonts w:ascii="Helvetica" w:hAnsi="Helvetica" w:cs="Times New Roman"/>
          <w:color w:val="333333"/>
          <w:sz w:val="20"/>
          <w:szCs w:val="20"/>
        </w:rPr>
        <w:t> have a low degree of specialization and formalization, a flat organizational structure, and decentralized decision making. Organic structures tend to be correlated with the following: a fluid and flexible information flow among employees in both horizontal and vertical directions; faster decision making; and higher employee motivation, retention, satisfaction, and creativity. Organic organizations also typically exhibit a higher rate of entrepreneurial behaviors and innovation. Organic structures allow firms to foster R&amp;D and/or marketing, for example, as a core competency. Firms that pursue a differentiation strategy at the business level frequently have an organic structure.</w:t>
      </w:r>
    </w:p>
    <w:p w:rsidR="00B35B32" w:rsidRPr="00B35B32" w:rsidRDefault="00B35B32" w:rsidP="00B35B32">
      <w:pPr>
        <w:spacing w:before="150" w:after="150" w:line="255" w:lineRule="atLeast"/>
        <w:divId w:val="718283801"/>
        <w:rPr>
          <w:rFonts w:ascii="Helvetica" w:hAnsi="Helvetica" w:cs="Times New Roman"/>
          <w:color w:val="333333"/>
          <w:sz w:val="20"/>
          <w:szCs w:val="20"/>
        </w:rPr>
      </w:pPr>
      <w:r w:rsidRPr="00B35B32">
        <w:rPr>
          <w:rFonts w:ascii="Helvetica" w:hAnsi="Helvetica" w:cs="Times New Roman"/>
          <w:color w:val="333333"/>
          <w:sz w:val="20"/>
          <w:szCs w:val="20"/>
        </w:rPr>
        <w:t>Strategy Highlight 11.2 shows how W.L. Gore &amp; Associates uses an organic structure to foster continuous innovation.</w:t>
      </w:r>
    </w:p>
    <w:p w:rsidR="00B35B32" w:rsidRPr="00B35B32" w:rsidRDefault="00B35B32" w:rsidP="00B35B32">
      <w:pPr>
        <w:spacing w:before="150" w:after="150" w:line="255" w:lineRule="atLeast"/>
        <w:divId w:val="718283801"/>
        <w:rPr>
          <w:rFonts w:ascii="Helvetica" w:hAnsi="Helvetica" w:cs="Times New Roman"/>
          <w:color w:val="333333"/>
          <w:sz w:val="20"/>
          <w:szCs w:val="20"/>
        </w:rPr>
      </w:pPr>
      <w:r w:rsidRPr="00B35B32">
        <w:rPr>
          <w:rFonts w:ascii="Helvetica" w:hAnsi="Helvetica" w:cs="Times New Roman"/>
          <w:color w:val="333333"/>
          <w:sz w:val="20"/>
          <w:szCs w:val="20"/>
        </w:rPr>
        <w:t>Exhibit 11.3 summarizes the key features of mechanistic and organic structures.</w:t>
      </w:r>
    </w:p>
    <w:p w:rsidR="00B35B32" w:rsidRPr="00B35B32" w:rsidRDefault="00B35B32" w:rsidP="00B35B32">
      <w:pPr>
        <w:spacing w:before="150" w:after="150" w:line="255" w:lineRule="atLeast"/>
        <w:divId w:val="718283801"/>
        <w:rPr>
          <w:rFonts w:ascii="Helvetica" w:hAnsi="Helvetica" w:cs="Times New Roman"/>
          <w:color w:val="333333"/>
          <w:sz w:val="20"/>
          <w:szCs w:val="20"/>
        </w:rPr>
      </w:pPr>
      <w:r w:rsidRPr="00B35B32">
        <w:rPr>
          <w:rFonts w:ascii="Helvetica" w:hAnsi="Helvetica" w:cs="Times New Roman"/>
          <w:color w:val="333333"/>
          <w:sz w:val="20"/>
          <w:szCs w:val="20"/>
        </w:rPr>
        <w:t>Although at first glance organic organizations may appear to be more attractive than mechanistic ones, their relative effectiveness depends on context. McDonald’s, with its over 36,000 restaurants across the globe, would not be successful with an organic structure. Similarly, a mechanistic structure would not allow Zappos or W.L. Gore to develop and hone their respective core competencies in customer service and product innovation.</w:t>
      </w:r>
    </w:p>
    <w:tbl>
      <w:tblPr>
        <w:tblW w:w="0" w:type="auto"/>
        <w:tblCellMar>
          <w:top w:w="15" w:type="dxa"/>
          <w:left w:w="15" w:type="dxa"/>
          <w:bottom w:w="15" w:type="dxa"/>
          <w:right w:w="15" w:type="dxa"/>
        </w:tblCellMar>
        <w:tblLook w:val="04A0" w:firstRow="1" w:lastRow="0" w:firstColumn="1" w:lastColumn="0" w:noHBand="0" w:noVBand="1"/>
      </w:tblPr>
      <w:tblGrid>
        <w:gridCol w:w="1663"/>
        <w:gridCol w:w="7215"/>
      </w:tblGrid>
      <w:tr w:rsidR="00B35B32" w:rsidRPr="00B35B32">
        <w:trPr>
          <w:divId w:val="160967723"/>
        </w:trPr>
        <w:tc>
          <w:tcPr>
            <w:tcW w:w="0" w:type="auto"/>
            <w:vAlign w:val="center"/>
            <w:hideMark/>
          </w:tcPr>
          <w:p w:rsidR="00B35B32" w:rsidRPr="00B35B32" w:rsidRDefault="00B35B32" w:rsidP="00B35B32">
            <w:pPr>
              <w:textAlignment w:val="top"/>
              <w:divId w:val="2080856718"/>
              <w:rPr>
                <w:rFonts w:ascii="Times New Roman" w:eastAsia="Times New Roman" w:hAnsi="Times New Roman" w:cs="Times New Roman"/>
                <w:b/>
                <w:bCs/>
                <w:color w:val="83AEAD"/>
                <w:sz w:val="26"/>
                <w:szCs w:val="26"/>
              </w:rPr>
            </w:pPr>
            <w:r w:rsidRPr="00B35B32">
              <w:rPr>
                <w:rFonts w:ascii="Times New Roman" w:eastAsia="Times New Roman" w:hAnsi="Times New Roman" w:cs="Times New Roman"/>
                <w:b/>
                <w:bCs/>
                <w:color w:val="83AEAD"/>
                <w:sz w:val="26"/>
                <w:szCs w:val="26"/>
              </w:rPr>
              <w:t>EXHIBIT 11.3</w:t>
            </w:r>
          </w:p>
        </w:tc>
        <w:tc>
          <w:tcPr>
            <w:tcW w:w="0" w:type="auto"/>
            <w:tcMar>
              <w:top w:w="15" w:type="dxa"/>
              <w:left w:w="90" w:type="dxa"/>
              <w:bottom w:w="15" w:type="dxa"/>
              <w:right w:w="15" w:type="dxa"/>
            </w:tcMar>
            <w:vAlign w:val="center"/>
            <w:hideMark/>
          </w:tcPr>
          <w:p w:rsidR="00B35B32" w:rsidRPr="00B35B32" w:rsidRDefault="00B35B32" w:rsidP="00B35B32">
            <w:pPr>
              <w:rPr>
                <w:rFonts w:ascii="Times New Roman" w:eastAsia="Times New Roman" w:hAnsi="Times New Roman" w:cs="Times New Roman"/>
                <w:sz w:val="24"/>
                <w:szCs w:val="24"/>
              </w:rPr>
            </w:pPr>
            <w:r w:rsidRPr="00B35B32">
              <w:rPr>
                <w:rFonts w:ascii="Times New Roman" w:eastAsia="Times New Roman" w:hAnsi="Times New Roman" w:cs="Times New Roman"/>
                <w:sz w:val="21"/>
                <w:szCs w:val="21"/>
              </w:rPr>
              <w:t>Mechanistic vs. Organic Organizations: Building Blocks of Organizational Structure</w:t>
            </w:r>
          </w:p>
        </w:tc>
      </w:tr>
    </w:tbl>
    <w:p w:rsidR="00B35B32" w:rsidRPr="00B35B32" w:rsidRDefault="00B35B32" w:rsidP="00B35B32">
      <w:pPr>
        <w:divId w:val="1219249297"/>
        <w:rPr>
          <w:rFonts w:ascii="Helvetica" w:eastAsia="Times New Roman" w:hAnsi="Helvetica" w:cs="Times New Roman"/>
          <w:color w:val="333333"/>
          <w:sz w:val="24"/>
          <w:szCs w:val="24"/>
        </w:rPr>
      </w:pPr>
      <w:r w:rsidRPr="00B35B32">
        <w:rPr>
          <w:rFonts w:ascii="Helvetica" w:eastAsia="Times New Roman" w:hAnsi="Helvetica" w:cs="Times New Roman"/>
          <w:noProof/>
          <w:color w:val="333333"/>
          <w:sz w:val="24"/>
          <w:szCs w:val="24"/>
        </w:rPr>
        <w:lastRenderedPageBreak/>
        <w:drawing>
          <wp:inline distT="0" distB="0" distL="0" distR="0" wp14:anchorId="20B62E6F" wp14:editId="31A21D69">
            <wp:extent cx="6209665" cy="3705225"/>
            <wp:effectExtent l="0" t="0" r="635" b="3175"/>
            <wp:docPr id="1" name="Picture 1" descr="/private/var/mobile/Containers/Data/Application/C214022C-B9FF-449E-957A-F21E29A0A98D/tmp/WebArchiveCopyPasteTempFiles/exhibit_1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760545_001_010732" descr="/private/var/mobile/Containers/Data/Application/C214022C-B9FF-449E-957A-F21E29A0A98D/tmp/WebArchiveCopyPasteTempFiles/exhibit_11_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09665" cy="3705225"/>
                    </a:xfrm>
                    <a:prstGeom prst="rect">
                      <a:avLst/>
                    </a:prstGeom>
                    <a:noFill/>
                    <a:ln>
                      <a:noFill/>
                    </a:ln>
                  </pic:spPr>
                </pic:pic>
              </a:graphicData>
            </a:graphic>
          </wp:inline>
        </w:drawing>
      </w:r>
    </w:p>
    <w:p w:rsidR="00B35B32" w:rsidRPr="00B35B32" w:rsidRDefault="00B35B32" w:rsidP="00B35B32">
      <w:pPr>
        <w:shd w:val="clear" w:color="auto" w:fill="FFFFFF"/>
        <w:jc w:val="center"/>
        <w:divId w:val="1939830158"/>
        <w:rPr>
          <w:rFonts w:ascii="Verdana" w:eastAsia="Times New Roman" w:hAnsi="Verdana" w:cs="Times New Roman"/>
          <w:color w:val="333333"/>
          <w:sz w:val="14"/>
          <w:szCs w:val="14"/>
        </w:rPr>
      </w:pPr>
      <w:r w:rsidRPr="00B35B32">
        <w:rPr>
          <w:rFonts w:ascii="Verdana" w:eastAsia="Times New Roman" w:hAnsi="Verdana" w:cs="Times New Roman"/>
          <w:color w:val="333333"/>
          <w:sz w:val="14"/>
          <w:szCs w:val="14"/>
        </w:rPr>
        <w:t>Page 374</w:t>
      </w:r>
    </w:p>
    <w:p w:rsidR="00B35B32" w:rsidRPr="00B35B32" w:rsidRDefault="00B35B32" w:rsidP="00B35B32">
      <w:pPr>
        <w:divId w:val="119227818"/>
        <w:rPr>
          <w:rFonts w:ascii="Helvetica" w:eastAsia="Times New Roman" w:hAnsi="Helvetica" w:cs="Times New Roman"/>
          <w:color w:val="333333"/>
          <w:sz w:val="24"/>
          <w:szCs w:val="24"/>
        </w:rPr>
      </w:pPr>
      <w:r w:rsidRPr="00B35B32">
        <w:rPr>
          <w:rFonts w:ascii="Helvetica" w:eastAsia="Times New Roman" w:hAnsi="Helvetica" w:cs="Times New Roman"/>
          <w:color w:val="333333"/>
          <w:sz w:val="33"/>
          <w:szCs w:val="33"/>
          <w:bdr w:val="single" w:sz="36" w:space="6" w:color="ADCCDC" w:frame="1"/>
          <w:shd w:val="clear" w:color="auto" w:fill="585F68"/>
        </w:rPr>
        <w:t>Strategy Highlight </w:t>
      </w:r>
      <w:r w:rsidRPr="00B35B32">
        <w:rPr>
          <w:rFonts w:ascii="Helvetica" w:eastAsia="Times New Roman" w:hAnsi="Helvetica" w:cs="Times New Roman"/>
          <w:b/>
          <w:bCs/>
          <w:color w:val="BAD5E1"/>
          <w:sz w:val="33"/>
          <w:szCs w:val="33"/>
          <w:bdr w:val="single" w:sz="36" w:space="6" w:color="ADCCDC" w:frame="1"/>
          <w:shd w:val="clear" w:color="auto" w:fill="585F68"/>
        </w:rPr>
        <w:t>11.2</w:t>
      </w:r>
    </w:p>
    <w:p w:rsidR="00B35B32" w:rsidRPr="00B35B32" w:rsidRDefault="00B35B32" w:rsidP="00B35B32">
      <w:pPr>
        <w:shd w:val="clear" w:color="auto" w:fill="E2F4FD"/>
        <w:divId w:val="1797482256"/>
        <w:rPr>
          <w:rFonts w:ascii="Helvetica" w:eastAsia="Times New Roman" w:hAnsi="Helvetica" w:cs="Times New Roman"/>
          <w:color w:val="333333"/>
          <w:sz w:val="24"/>
          <w:szCs w:val="24"/>
        </w:rPr>
      </w:pPr>
      <w:r w:rsidRPr="00B35B32">
        <w:rPr>
          <w:rFonts w:ascii="Helvetica" w:eastAsia="Times New Roman" w:hAnsi="Helvetica" w:cs="Times New Roman"/>
          <w:b/>
          <w:bCs/>
          <w:color w:val="333333"/>
          <w:sz w:val="24"/>
          <w:szCs w:val="24"/>
        </w:rPr>
        <w:t>W.L. Gore &amp; Associates: Informality and Innovation</w:t>
      </w:r>
    </w:p>
    <w:p w:rsidR="00B35B32" w:rsidRPr="00B35B32" w:rsidRDefault="00B35B32" w:rsidP="00B35B32">
      <w:pPr>
        <w:shd w:val="clear" w:color="auto" w:fill="E2F4FD"/>
        <w:spacing w:before="150" w:after="150" w:line="255" w:lineRule="atLeast"/>
        <w:divId w:val="1797482256"/>
        <w:rPr>
          <w:rFonts w:ascii="Helvetica" w:hAnsi="Helvetica" w:cs="Times New Roman"/>
          <w:color w:val="333333"/>
          <w:sz w:val="20"/>
          <w:szCs w:val="20"/>
        </w:rPr>
      </w:pPr>
      <w:r w:rsidRPr="00B35B32">
        <w:rPr>
          <w:rFonts w:ascii="Helvetica" w:hAnsi="Helvetica" w:cs="Times New Roman"/>
          <w:color w:val="333333"/>
          <w:sz w:val="20"/>
          <w:szCs w:val="20"/>
        </w:rPr>
        <w:t>W.L. Gore &amp; Associates is the inventor of path-breaking new products such as breathable GORE-TEX fabrics, Glide dental floss, and Elixir guitar strings. Bill Gore, a former longtime employee of chemical giant DuPont, founded the company with the vision to create an organization “devoted to innovation, a company where imagination and initiative would flourish, where chronically curious engineers would be free to invent, invest, and succeed.”20When founding the company in 1958, Gore articulated four core values that still guide the company and its associates to this day:</w:t>
      </w:r>
    </w:p>
    <w:tbl>
      <w:tblPr>
        <w:tblW w:w="0" w:type="auto"/>
        <w:tblCellMar>
          <w:top w:w="15" w:type="dxa"/>
          <w:left w:w="15" w:type="dxa"/>
          <w:bottom w:w="15" w:type="dxa"/>
          <w:right w:w="15" w:type="dxa"/>
        </w:tblCellMar>
        <w:tblLook w:val="04A0" w:firstRow="1" w:lastRow="0" w:firstColumn="1" w:lastColumn="0" w:noHBand="0" w:noVBand="1"/>
      </w:tblPr>
      <w:tblGrid>
        <w:gridCol w:w="180"/>
        <w:gridCol w:w="9180"/>
      </w:tblGrid>
      <w:tr w:rsidR="00B35B32" w:rsidRPr="00B35B32">
        <w:trPr>
          <w:divId w:val="1797482256"/>
        </w:trPr>
        <w:tc>
          <w:tcPr>
            <w:tcW w:w="0" w:type="auto"/>
            <w:hideMark/>
          </w:tcPr>
          <w:p w:rsidR="00B35B32" w:rsidRPr="00B35B32" w:rsidRDefault="00B35B32" w:rsidP="00B35B32">
            <w:pPr>
              <w:spacing w:before="150" w:after="150" w:line="255" w:lineRule="atLeast"/>
              <w:jc w:val="right"/>
              <w:rPr>
                <w:rFonts w:ascii="Times New Roman" w:hAnsi="Times New Roman" w:cs="Times New Roman"/>
                <w:sz w:val="20"/>
                <w:szCs w:val="20"/>
              </w:rPr>
            </w:pPr>
            <w:r w:rsidRPr="00B35B32">
              <w:rPr>
                <w:rFonts w:ascii="Times New Roman" w:hAnsi="Times New Roman" w:cs="Times New Roman"/>
                <w:sz w:val="20"/>
                <w:szCs w:val="20"/>
              </w:rPr>
              <w:t>1.</w:t>
            </w:r>
          </w:p>
        </w:tc>
        <w:tc>
          <w:tcPr>
            <w:tcW w:w="0" w:type="auto"/>
            <w:hideMark/>
          </w:tcPr>
          <w:p w:rsidR="00B35B32" w:rsidRPr="00B35B32" w:rsidRDefault="00B35B32" w:rsidP="00B35B32">
            <w:pPr>
              <w:spacing w:before="150" w:after="150" w:line="255" w:lineRule="atLeast"/>
              <w:rPr>
                <w:rFonts w:ascii="Times New Roman" w:hAnsi="Times New Roman" w:cs="Times New Roman"/>
                <w:sz w:val="20"/>
                <w:szCs w:val="20"/>
              </w:rPr>
            </w:pPr>
            <w:r w:rsidRPr="00B35B32">
              <w:rPr>
                <w:rFonts w:ascii="Times New Roman" w:hAnsi="Times New Roman" w:cs="Times New Roman"/>
                <w:sz w:val="20"/>
                <w:szCs w:val="20"/>
              </w:rPr>
              <w:t>Fairness to each other and everyone with whom the firm does business.</w:t>
            </w:r>
          </w:p>
        </w:tc>
      </w:tr>
      <w:tr w:rsidR="00B35B32" w:rsidRPr="00B35B32">
        <w:trPr>
          <w:divId w:val="1797482256"/>
        </w:trPr>
        <w:tc>
          <w:tcPr>
            <w:tcW w:w="0" w:type="auto"/>
            <w:hideMark/>
          </w:tcPr>
          <w:p w:rsidR="00B35B32" w:rsidRPr="00B35B32" w:rsidRDefault="00B35B32" w:rsidP="00B35B32">
            <w:pPr>
              <w:spacing w:before="150" w:after="150" w:line="255" w:lineRule="atLeast"/>
              <w:jc w:val="right"/>
              <w:rPr>
                <w:rFonts w:ascii="Times New Roman" w:hAnsi="Times New Roman" w:cs="Times New Roman"/>
                <w:sz w:val="20"/>
                <w:szCs w:val="20"/>
              </w:rPr>
            </w:pPr>
            <w:r w:rsidRPr="00B35B32">
              <w:rPr>
                <w:rFonts w:ascii="Times New Roman" w:hAnsi="Times New Roman" w:cs="Times New Roman"/>
                <w:sz w:val="20"/>
                <w:szCs w:val="20"/>
              </w:rPr>
              <w:t>2.</w:t>
            </w:r>
          </w:p>
        </w:tc>
        <w:tc>
          <w:tcPr>
            <w:tcW w:w="0" w:type="auto"/>
            <w:hideMark/>
          </w:tcPr>
          <w:p w:rsidR="00B35B32" w:rsidRPr="00B35B32" w:rsidRDefault="00B35B32" w:rsidP="00B35B32">
            <w:pPr>
              <w:spacing w:before="150" w:after="150" w:line="255" w:lineRule="atLeast"/>
              <w:rPr>
                <w:rFonts w:ascii="Times New Roman" w:hAnsi="Times New Roman" w:cs="Times New Roman"/>
                <w:sz w:val="20"/>
                <w:szCs w:val="20"/>
              </w:rPr>
            </w:pPr>
            <w:r w:rsidRPr="00B35B32">
              <w:rPr>
                <w:rFonts w:ascii="Times New Roman" w:hAnsi="Times New Roman" w:cs="Times New Roman"/>
                <w:sz w:val="20"/>
                <w:szCs w:val="20"/>
              </w:rPr>
              <w:t>Freedom to encourage, help, and allow other associates to grow in knowledge, skill, and scope of responsibility.</w:t>
            </w:r>
          </w:p>
        </w:tc>
      </w:tr>
      <w:tr w:rsidR="00B35B32" w:rsidRPr="00B35B32">
        <w:trPr>
          <w:divId w:val="1797482256"/>
        </w:trPr>
        <w:tc>
          <w:tcPr>
            <w:tcW w:w="0" w:type="auto"/>
            <w:hideMark/>
          </w:tcPr>
          <w:p w:rsidR="00B35B32" w:rsidRPr="00B35B32" w:rsidRDefault="00B35B32" w:rsidP="00B35B32">
            <w:pPr>
              <w:spacing w:before="150" w:after="150" w:line="255" w:lineRule="atLeast"/>
              <w:jc w:val="right"/>
              <w:rPr>
                <w:rFonts w:ascii="Times New Roman" w:hAnsi="Times New Roman" w:cs="Times New Roman"/>
                <w:sz w:val="20"/>
                <w:szCs w:val="20"/>
              </w:rPr>
            </w:pPr>
            <w:r w:rsidRPr="00B35B32">
              <w:rPr>
                <w:rFonts w:ascii="Times New Roman" w:hAnsi="Times New Roman" w:cs="Times New Roman"/>
                <w:sz w:val="20"/>
                <w:szCs w:val="20"/>
              </w:rPr>
              <w:t>3.</w:t>
            </w:r>
          </w:p>
        </w:tc>
        <w:tc>
          <w:tcPr>
            <w:tcW w:w="0" w:type="auto"/>
            <w:hideMark/>
          </w:tcPr>
          <w:p w:rsidR="00B35B32" w:rsidRPr="00B35B32" w:rsidRDefault="00B35B32" w:rsidP="00B35B32">
            <w:pPr>
              <w:spacing w:before="150" w:after="150" w:line="255" w:lineRule="atLeast"/>
              <w:rPr>
                <w:rFonts w:ascii="Times New Roman" w:hAnsi="Times New Roman" w:cs="Times New Roman"/>
                <w:sz w:val="20"/>
                <w:szCs w:val="20"/>
              </w:rPr>
            </w:pPr>
            <w:r w:rsidRPr="00B35B32">
              <w:rPr>
                <w:rFonts w:ascii="Times New Roman" w:hAnsi="Times New Roman" w:cs="Times New Roman"/>
                <w:sz w:val="20"/>
                <w:szCs w:val="20"/>
              </w:rPr>
              <w:t>The ability to make one’s own commitments and keep them.</w:t>
            </w:r>
          </w:p>
        </w:tc>
      </w:tr>
      <w:tr w:rsidR="00B35B32" w:rsidRPr="00B35B32">
        <w:trPr>
          <w:divId w:val="1797482256"/>
        </w:trPr>
        <w:tc>
          <w:tcPr>
            <w:tcW w:w="0" w:type="auto"/>
            <w:hideMark/>
          </w:tcPr>
          <w:p w:rsidR="00B35B32" w:rsidRPr="00B35B32" w:rsidRDefault="00B35B32" w:rsidP="00B35B32">
            <w:pPr>
              <w:spacing w:before="150" w:after="150" w:line="255" w:lineRule="atLeast"/>
              <w:jc w:val="right"/>
              <w:rPr>
                <w:rFonts w:ascii="Times New Roman" w:hAnsi="Times New Roman" w:cs="Times New Roman"/>
                <w:sz w:val="20"/>
                <w:szCs w:val="20"/>
              </w:rPr>
            </w:pPr>
            <w:r w:rsidRPr="00B35B32">
              <w:rPr>
                <w:rFonts w:ascii="Times New Roman" w:hAnsi="Times New Roman" w:cs="Times New Roman"/>
                <w:sz w:val="20"/>
                <w:szCs w:val="20"/>
              </w:rPr>
              <w:t>4.</w:t>
            </w:r>
          </w:p>
        </w:tc>
        <w:tc>
          <w:tcPr>
            <w:tcW w:w="0" w:type="auto"/>
            <w:hideMark/>
          </w:tcPr>
          <w:p w:rsidR="00B35B32" w:rsidRPr="00B35B32" w:rsidRDefault="00B35B32" w:rsidP="00B35B32">
            <w:pPr>
              <w:spacing w:before="150" w:after="150" w:line="255" w:lineRule="atLeast"/>
              <w:rPr>
                <w:rFonts w:ascii="Times New Roman" w:hAnsi="Times New Roman" w:cs="Times New Roman"/>
                <w:sz w:val="20"/>
                <w:szCs w:val="20"/>
              </w:rPr>
            </w:pPr>
            <w:r w:rsidRPr="00B35B32">
              <w:rPr>
                <w:rFonts w:ascii="Times New Roman" w:hAnsi="Times New Roman" w:cs="Times New Roman"/>
                <w:sz w:val="20"/>
                <w:szCs w:val="20"/>
              </w:rPr>
              <w:t>Consultation with other associates before undertaking actions that could cause serious damage to the reputation of the company ("blowing a hole below the waterline").</w:t>
            </w:r>
          </w:p>
        </w:tc>
      </w:tr>
    </w:tbl>
    <w:p w:rsidR="00B35B32" w:rsidRPr="00B35B32" w:rsidRDefault="00B35B32" w:rsidP="00B35B32">
      <w:pPr>
        <w:shd w:val="clear" w:color="auto" w:fill="E2F4FD"/>
        <w:spacing w:before="150" w:after="150" w:line="255" w:lineRule="atLeast"/>
        <w:divId w:val="1797482256"/>
        <w:rPr>
          <w:rFonts w:ascii="Helvetica" w:hAnsi="Helvetica" w:cs="Times New Roman"/>
          <w:color w:val="333333"/>
          <w:sz w:val="20"/>
          <w:szCs w:val="20"/>
        </w:rPr>
      </w:pPr>
      <w:r w:rsidRPr="00B35B32">
        <w:rPr>
          <w:rFonts w:ascii="Helvetica" w:hAnsi="Helvetica" w:cs="Times New Roman"/>
          <w:color w:val="333333"/>
          <w:sz w:val="20"/>
          <w:szCs w:val="20"/>
        </w:rPr>
        <w:t>W.L. Gore &amp; Associates is organized in an informal and decentralized manner: It has no formal job titles, job descriptions, chains of command, formal communication channels, written rules or standard operating procedures. Face-to-face communication is preferred over e-mail. There is no organizational chart. In what is called a </w:t>
      </w:r>
      <w:r w:rsidRPr="00B35B32">
        <w:rPr>
          <w:rFonts w:ascii="Helvetica" w:hAnsi="Helvetica" w:cs="Times New Roman"/>
          <w:i/>
          <w:iCs/>
          <w:color w:val="333333"/>
          <w:sz w:val="20"/>
          <w:szCs w:val="20"/>
        </w:rPr>
        <w:t>lattice</w:t>
      </w:r>
      <w:r w:rsidRPr="00B35B32">
        <w:rPr>
          <w:rFonts w:ascii="Helvetica" w:hAnsi="Helvetica" w:cs="Times New Roman"/>
          <w:color w:val="333333"/>
          <w:sz w:val="20"/>
          <w:szCs w:val="20"/>
        </w:rPr>
        <w:t> or </w:t>
      </w:r>
      <w:r w:rsidRPr="00B35B32">
        <w:rPr>
          <w:rFonts w:ascii="Helvetica" w:hAnsi="Helvetica" w:cs="Times New Roman"/>
          <w:i/>
          <w:iCs/>
          <w:color w:val="333333"/>
          <w:sz w:val="20"/>
          <w:szCs w:val="20"/>
        </w:rPr>
        <w:t>boundaryless</w:t>
      </w:r>
      <w:r w:rsidRPr="00B35B32">
        <w:rPr>
          <w:rFonts w:ascii="Helvetica" w:hAnsi="Helvetica" w:cs="Times New Roman"/>
          <w:color w:val="333333"/>
          <w:sz w:val="20"/>
          <w:szCs w:val="20"/>
        </w:rPr>
        <w:t xml:space="preserve">organizational form, everyone is empowered and encouraged to </w:t>
      </w:r>
      <w:r w:rsidRPr="00B35B32">
        <w:rPr>
          <w:rFonts w:ascii="Helvetica" w:hAnsi="Helvetica" w:cs="Times New Roman"/>
          <w:color w:val="333333"/>
          <w:sz w:val="20"/>
          <w:szCs w:val="20"/>
        </w:rPr>
        <w:lastRenderedPageBreak/>
        <w:t>speak to anyone else in the organization. People who work at Gore are called “associates” rather than employees, indicating professional expertise and status. Gore associates organize themselves in project-based teams that are led by sponsors, not bosses. Associates invite other team members based on their expertise and interests in a more or less ad hoc fashion. Peer control in these multidisciplinary teams further enhances associate productivity. Group members evaluate each other’s performance annually, and these evaluations determine each associate’s level of compensation. Moreover, all associates at W.L. Gore are also shareholders of the company, and thus are part owners sharing in profits and losses.</w:t>
      </w:r>
    </w:p>
    <w:p w:rsidR="00B35B32" w:rsidRPr="00B35B32" w:rsidRDefault="00B35B32" w:rsidP="00B35B32">
      <w:pPr>
        <w:shd w:val="clear" w:color="auto" w:fill="E2F4FD"/>
        <w:spacing w:before="150" w:after="150" w:line="255" w:lineRule="atLeast"/>
        <w:divId w:val="1797482256"/>
        <w:rPr>
          <w:rFonts w:ascii="Helvetica" w:hAnsi="Helvetica" w:cs="Times New Roman"/>
          <w:color w:val="333333"/>
          <w:sz w:val="20"/>
          <w:szCs w:val="20"/>
        </w:rPr>
      </w:pPr>
      <w:r w:rsidRPr="00B35B32">
        <w:rPr>
          <w:rFonts w:ascii="Helvetica" w:hAnsi="Helvetica" w:cs="Times New Roman"/>
          <w:color w:val="333333"/>
          <w:sz w:val="20"/>
          <w:szCs w:val="20"/>
        </w:rPr>
        <w:t>Gore's freewheeling and informal culture has been linked to greater employee satisfaction and retention, higher personal initiative and creativity, and innovation at the firm level. Although W.L. Gore’s organizational structure may look like something you might find in a small, high-tech startup, the company has 10,000 employees and over $3 billion in revenues, making Gore one of the largest privately held companies in the United States. W.L. Gore is consistently ranked in the top 25 of </w:t>
      </w:r>
      <w:r w:rsidRPr="00B35B32">
        <w:rPr>
          <w:rFonts w:ascii="Helvetica" w:hAnsi="Helvetica" w:cs="Times New Roman"/>
          <w:i/>
          <w:iCs/>
          <w:color w:val="333333"/>
          <w:sz w:val="20"/>
          <w:szCs w:val="20"/>
        </w:rPr>
        <w:t>Fortune</w:t>
      </w:r>
      <w:r w:rsidRPr="00B35B32">
        <w:rPr>
          <w:rFonts w:ascii="Helvetica" w:hAnsi="Helvetica" w:cs="Times New Roman"/>
          <w:color w:val="333333"/>
          <w:sz w:val="20"/>
          <w:szCs w:val="20"/>
        </w:rPr>
        <w:t>’s “100 Best Companies to Work For” list (number 17 in 2015), and has been included in every edition of that prestigious ranking.21</w:t>
      </w:r>
    </w:p>
    <w:p w:rsidR="00B35B32" w:rsidRPr="00B35B32" w:rsidRDefault="00B35B32" w:rsidP="00B35B32">
      <w:pPr>
        <w:spacing w:before="150" w:after="150" w:line="255" w:lineRule="atLeast"/>
        <w:divId w:val="718283801"/>
        <w:rPr>
          <w:rFonts w:ascii="Helvetica" w:hAnsi="Helvetica" w:cs="Times New Roman"/>
          <w:color w:val="333333"/>
          <w:sz w:val="20"/>
          <w:szCs w:val="20"/>
        </w:rPr>
      </w:pPr>
      <w:r w:rsidRPr="00B35B32">
        <w:rPr>
          <w:rFonts w:ascii="Helvetica" w:hAnsi="Helvetica" w:cs="Times New Roman"/>
          <w:color w:val="333333"/>
          <w:sz w:val="20"/>
          <w:szCs w:val="20"/>
        </w:rPr>
        <w:t>The key point is this: To gain and sustain competitive advantage, structure must follow strategy. Moreover, the chosen organizational form must match the firm’s business strategy. We will expand further on the required strategy—structure relationship in the next section.</w:t>
      </w:r>
    </w:p>
    <w:p w:rsidR="00CE58C5" w:rsidRDefault="00CE58C5" w:rsidP="00CE58C5">
      <w:pPr>
        <w:rPr>
          <w:rFonts w:ascii="Times New Roman" w:eastAsia="Times New Roman" w:hAnsi="Times New Roman" w:cs="Times New Roman"/>
          <w:sz w:val="24"/>
          <w:szCs w:val="24"/>
        </w:rPr>
      </w:pPr>
    </w:p>
    <w:p w:rsidR="00C67141" w:rsidRPr="00C67141" w:rsidRDefault="00C67141" w:rsidP="00C67141">
      <w:pPr>
        <w:spacing w:before="100" w:beforeAutospacing="1" w:after="100" w:afterAutospacing="1"/>
        <w:outlineLvl w:val="0"/>
        <w:divId w:val="425156827"/>
        <w:rPr>
          <w:rFonts w:ascii="Helvetica" w:eastAsia="Times New Roman" w:hAnsi="Helvetica" w:cs="Times New Roman"/>
          <w:b/>
          <w:bCs/>
          <w:color w:val="6E9AA9"/>
          <w:kern w:val="36"/>
          <w:sz w:val="33"/>
          <w:szCs w:val="33"/>
        </w:rPr>
      </w:pPr>
      <w:r w:rsidRPr="00C67141">
        <w:rPr>
          <w:rFonts w:ascii="Helvetica" w:eastAsia="Times New Roman" w:hAnsi="Helvetica" w:cs="Times New Roman"/>
          <w:b/>
          <w:bCs/>
          <w:color w:val="97999B"/>
          <w:kern w:val="36"/>
          <w:sz w:val="33"/>
          <w:szCs w:val="33"/>
        </w:rPr>
        <w:t>12.1</w:t>
      </w:r>
      <w:r w:rsidRPr="00C67141">
        <w:rPr>
          <w:rFonts w:ascii="Helvetica" w:eastAsia="Times New Roman" w:hAnsi="Helvetica" w:cs="Times New Roman"/>
          <w:b/>
          <w:bCs/>
          <w:color w:val="6E9AA9"/>
          <w:kern w:val="36"/>
          <w:sz w:val="33"/>
          <w:szCs w:val="33"/>
        </w:rPr>
        <w:t> The Shared Value Creation Framework</w:t>
      </w:r>
    </w:p>
    <w:p w:rsidR="00C67141" w:rsidRPr="00C67141" w:rsidRDefault="00C67141" w:rsidP="00C67141">
      <w:pPr>
        <w:spacing w:before="150" w:after="150" w:line="255" w:lineRule="atLeast"/>
        <w:divId w:val="1391533575"/>
        <w:rPr>
          <w:rFonts w:ascii="Helvetica" w:hAnsi="Helvetica" w:cs="Times New Roman"/>
          <w:color w:val="333333"/>
          <w:sz w:val="20"/>
          <w:szCs w:val="20"/>
        </w:rPr>
      </w:pPr>
      <w:r w:rsidRPr="00C67141">
        <w:rPr>
          <w:rFonts w:ascii="Helvetica" w:hAnsi="Helvetica" w:cs="Times New Roman"/>
          <w:color w:val="333333"/>
          <w:sz w:val="20"/>
          <w:szCs w:val="20"/>
        </w:rPr>
        <w:t>The shared value creation framework provides guidance to managers about how to reconcile the economic imperative of gaining and sustaining competitive advantage with corporate social responsibility (introduced in Chapter 1).4 It helps managers create a larger pie that benefits both shareholders and other stakeholders. To develop the shared value creation framework, though, we first must understand the role of the public stock company.</w:t>
      </w:r>
    </w:p>
    <w:p w:rsidR="00C67141" w:rsidRPr="00C67141" w:rsidRDefault="00C67141" w:rsidP="00C67141">
      <w:pPr>
        <w:spacing w:before="100" w:beforeAutospacing="1" w:after="100" w:afterAutospacing="1"/>
        <w:outlineLvl w:val="1"/>
        <w:divId w:val="1893885708"/>
        <w:rPr>
          <w:rFonts w:ascii="Helvetica" w:eastAsia="Times New Roman" w:hAnsi="Helvetica" w:cs="Times New Roman"/>
          <w:b/>
          <w:bCs/>
          <w:color w:val="6C8958"/>
          <w:sz w:val="27"/>
          <w:szCs w:val="27"/>
        </w:rPr>
      </w:pPr>
      <w:r w:rsidRPr="00C67141">
        <w:rPr>
          <w:rFonts w:ascii="Helvetica" w:eastAsia="Times New Roman" w:hAnsi="Helvetica" w:cs="Times New Roman"/>
          <w:b/>
          <w:bCs/>
          <w:color w:val="6C8958"/>
          <w:sz w:val="27"/>
          <w:szCs w:val="27"/>
        </w:rPr>
        <w:t>PUBLIC STOCK COMPANIES AND SHAREHOLDER CAPITALISM</w:t>
      </w:r>
    </w:p>
    <w:p w:rsidR="00C67141" w:rsidRPr="00C67141" w:rsidRDefault="00C67141" w:rsidP="00C67141">
      <w:pPr>
        <w:spacing w:before="150" w:after="150" w:line="255" w:lineRule="atLeast"/>
        <w:divId w:val="1893885708"/>
        <w:rPr>
          <w:rFonts w:ascii="Helvetica" w:hAnsi="Helvetica" w:cs="Times New Roman"/>
          <w:color w:val="333333"/>
          <w:sz w:val="20"/>
          <w:szCs w:val="20"/>
        </w:rPr>
      </w:pPr>
      <w:r w:rsidRPr="00C67141">
        <w:rPr>
          <w:rFonts w:ascii="Helvetica" w:hAnsi="Helvetica" w:cs="Times New Roman"/>
          <w:color w:val="333333"/>
          <w:sz w:val="20"/>
          <w:szCs w:val="20"/>
        </w:rPr>
        <w:t>The public stock company is an important institutional arrangement in modern, free market economies. It provides goods and services as well as employment, pays taxes, and increases the standard of living. There exists an implicit contract based on trust between society and the public stock company. Society grants the right to incorporation, but in turn expects companies to be good citizens by adding value to society.</w:t>
      </w:r>
    </w:p>
    <w:p w:rsidR="00C67141" w:rsidRPr="00C67141" w:rsidRDefault="00C67141" w:rsidP="00C67141">
      <w:pPr>
        <w:spacing w:before="150" w:after="150" w:line="255" w:lineRule="atLeast"/>
        <w:divId w:val="1893885708"/>
        <w:rPr>
          <w:rFonts w:ascii="Helvetica" w:hAnsi="Helvetica" w:cs="Times New Roman"/>
          <w:color w:val="333333"/>
          <w:sz w:val="20"/>
          <w:szCs w:val="20"/>
        </w:rPr>
      </w:pPr>
      <w:r w:rsidRPr="00C67141">
        <w:rPr>
          <w:rFonts w:ascii="Helvetica" w:hAnsi="Helvetica" w:cs="Times New Roman"/>
          <w:color w:val="333333"/>
          <w:sz w:val="20"/>
          <w:szCs w:val="20"/>
        </w:rPr>
        <w:t>To fund future growth, companies frequently need to go public. Uber, featured in the ChapterCase, is one of the few companies that achieved a huge valuation prior to an initial public offering. Private start-up companies valued at a billion dollars or more are called </w:t>
      </w:r>
      <w:r w:rsidRPr="00C67141">
        <w:rPr>
          <w:rFonts w:ascii="Helvetica" w:hAnsi="Helvetica" w:cs="Times New Roman"/>
          <w:i/>
          <w:iCs/>
          <w:color w:val="333333"/>
          <w:sz w:val="20"/>
          <w:szCs w:val="20"/>
        </w:rPr>
        <w:t>unicorns</w:t>
      </w:r>
      <w:r w:rsidRPr="00C67141">
        <w:rPr>
          <w:rFonts w:ascii="Helvetica" w:hAnsi="Helvetica" w:cs="Times New Roman"/>
          <w:color w:val="333333"/>
          <w:sz w:val="20"/>
          <w:szCs w:val="20"/>
        </w:rPr>
        <w:t xml:space="preserve">, because at one time they seemed as rare as the mythical beast. But their elusiveness has changed. The tech sector now has the lion’s share: some 75 unicorns valued at $1 billion or more, for a total of $273 billion.5 The top five most valuable private start-up companies (as of the summer of 2015) are Uber, Airbnb, Snapchat, </w:t>
      </w:r>
      <w:proofErr w:type="spellStart"/>
      <w:r w:rsidRPr="00C67141">
        <w:rPr>
          <w:rFonts w:ascii="Helvetica" w:hAnsi="Helvetica" w:cs="Times New Roman"/>
          <w:color w:val="333333"/>
          <w:sz w:val="20"/>
          <w:szCs w:val="20"/>
        </w:rPr>
        <w:t>Palantir</w:t>
      </w:r>
      <w:proofErr w:type="spellEnd"/>
      <w:r w:rsidRPr="00C67141">
        <w:rPr>
          <w:rFonts w:ascii="Helvetica" w:hAnsi="Helvetica" w:cs="Times New Roman"/>
          <w:color w:val="333333"/>
          <w:sz w:val="20"/>
          <w:szCs w:val="20"/>
        </w:rPr>
        <w:t xml:space="preserve"> Technologies, and SpaceX (rocket science). These new ventures may eventually go public such as Facebook did in 2012, but as long as they remain private they do not have to follow the stringent financial reporting and auditing requirements that public stock companies do. Consider that there may be a connection between firm structure and the degree that it integrates ethics. Not needing to expose themselves to as much public scrutiny as a publicly traded company also allows unicorns such as Uber to push the envelope in their legal and ethical business practices.</w:t>
      </w:r>
    </w:p>
    <w:p w:rsidR="00C67141" w:rsidRPr="00C67141" w:rsidRDefault="00C67141" w:rsidP="00C67141">
      <w:pPr>
        <w:textAlignment w:val="top"/>
        <w:divId w:val="173695450"/>
        <w:rPr>
          <w:rFonts w:ascii="Helvetica" w:eastAsia="Times New Roman" w:hAnsi="Helvetica" w:cs="Times New Roman"/>
          <w:color w:val="333333"/>
          <w:sz w:val="24"/>
          <w:szCs w:val="24"/>
        </w:rPr>
      </w:pPr>
      <w:r w:rsidRPr="00C67141">
        <w:rPr>
          <w:rFonts w:ascii="Helvetica" w:eastAsia="Times New Roman" w:hAnsi="Helvetica" w:cs="Times New Roman"/>
          <w:noProof/>
          <w:color w:val="333333"/>
          <w:sz w:val="24"/>
          <w:szCs w:val="24"/>
        </w:rPr>
        <w:lastRenderedPageBreak/>
        <w:drawing>
          <wp:inline distT="0" distB="0" distL="0" distR="0" wp14:anchorId="78AFAFBE" wp14:editId="04C080D9">
            <wp:extent cx="5144770" cy="3427095"/>
            <wp:effectExtent l="0" t="0" r="0" b="1905"/>
            <wp:docPr id="7" name="Picture 7" descr="/private/var/mobile/Containers/Data/Application/C214022C-B9FF-449E-957A-F21E29A0A98D/tmp/WebArchiveCopyPasteTempFiles/rot20477_p4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760545_001_011830" descr="/private/var/mobile/Containers/Data/Application/C214022C-B9FF-449E-957A-F21E29A0A98D/tmp/WebArchiveCopyPasteTempFiles/rot20477_p403-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4770" cy="3427095"/>
                    </a:xfrm>
                    <a:prstGeom prst="rect">
                      <a:avLst/>
                    </a:prstGeom>
                    <a:noFill/>
                    <a:ln>
                      <a:noFill/>
                    </a:ln>
                  </pic:spPr>
                </pic:pic>
              </a:graphicData>
            </a:graphic>
          </wp:inline>
        </w:drawing>
      </w:r>
    </w:p>
    <w:p w:rsidR="00C67141" w:rsidRPr="00C67141" w:rsidRDefault="00C67141" w:rsidP="00C67141">
      <w:pPr>
        <w:textAlignment w:val="top"/>
        <w:divId w:val="382405650"/>
        <w:rPr>
          <w:rFonts w:ascii="Helvetica" w:eastAsia="Times New Roman" w:hAnsi="Helvetica" w:cs="Times New Roman"/>
          <w:color w:val="333333"/>
          <w:sz w:val="17"/>
          <w:szCs w:val="17"/>
        </w:rPr>
      </w:pPr>
      <w:r w:rsidRPr="00C67141">
        <w:rPr>
          <w:rFonts w:ascii="Helvetica" w:eastAsia="Times New Roman" w:hAnsi="Helvetica" w:cs="Times New Roman"/>
          <w:color w:val="333333"/>
          <w:sz w:val="17"/>
          <w:szCs w:val="17"/>
        </w:rPr>
        <w:t>In capital markets, private companies that achieve a valuation of $1 billion or greater are rare enough to be called unicorns.</w:t>
      </w:r>
    </w:p>
    <w:p w:rsidR="00C67141" w:rsidRPr="00C67141" w:rsidRDefault="00C67141" w:rsidP="00C67141">
      <w:pPr>
        <w:textAlignment w:val="top"/>
        <w:divId w:val="234441949"/>
        <w:rPr>
          <w:rFonts w:ascii="Helvetica" w:eastAsia="Times New Roman" w:hAnsi="Helvetica" w:cs="Times New Roman"/>
          <w:color w:val="333333"/>
          <w:sz w:val="24"/>
          <w:szCs w:val="24"/>
        </w:rPr>
      </w:pPr>
      <w:r w:rsidRPr="00C67141">
        <w:rPr>
          <w:rFonts w:ascii="Helvetica" w:eastAsia="Times New Roman" w:hAnsi="Helvetica" w:cs="Times New Roman"/>
          <w:color w:val="333333"/>
          <w:sz w:val="24"/>
          <w:szCs w:val="24"/>
        </w:rPr>
        <w:t xml:space="preserve">© </w:t>
      </w:r>
      <w:proofErr w:type="spellStart"/>
      <w:r w:rsidRPr="00C67141">
        <w:rPr>
          <w:rFonts w:ascii="Helvetica" w:eastAsia="Times New Roman" w:hAnsi="Helvetica" w:cs="Times New Roman"/>
          <w:color w:val="333333"/>
          <w:sz w:val="24"/>
          <w:szCs w:val="24"/>
        </w:rPr>
        <w:t>Catmando</w:t>
      </w:r>
      <w:proofErr w:type="spellEnd"/>
      <w:r w:rsidRPr="00C67141">
        <w:rPr>
          <w:rFonts w:ascii="Helvetica" w:eastAsia="Times New Roman" w:hAnsi="Helvetica" w:cs="Times New Roman"/>
          <w:color w:val="333333"/>
          <w:sz w:val="24"/>
          <w:szCs w:val="24"/>
        </w:rPr>
        <w:t>/</w:t>
      </w:r>
      <w:hyperlink r:id="rId9" w:tgtFrame="_blank" w:history="1">
        <w:r w:rsidRPr="00C67141">
          <w:rPr>
            <w:rFonts w:ascii="Helvetica" w:eastAsia="Times New Roman" w:hAnsi="Helvetica" w:cs="Times New Roman"/>
            <w:color w:val="1086D9"/>
            <w:sz w:val="24"/>
            <w:szCs w:val="24"/>
            <w:u w:val="single"/>
          </w:rPr>
          <w:t>Shutterstock.com</w:t>
        </w:r>
      </w:hyperlink>
      <w:r w:rsidRPr="00C67141">
        <w:rPr>
          <w:rFonts w:ascii="Helvetica" w:eastAsia="Times New Roman" w:hAnsi="Helvetica" w:cs="Times New Roman"/>
          <w:color w:val="333333"/>
          <w:sz w:val="24"/>
          <w:szCs w:val="24"/>
        </w:rPr>
        <w:t> RF</w:t>
      </w:r>
    </w:p>
    <w:p w:rsidR="00C67141" w:rsidRPr="00C67141" w:rsidRDefault="00C67141" w:rsidP="00C67141">
      <w:pPr>
        <w:spacing w:before="150" w:after="150" w:line="255" w:lineRule="atLeast"/>
        <w:divId w:val="1893885708"/>
        <w:rPr>
          <w:rFonts w:ascii="Helvetica" w:hAnsi="Helvetica" w:cs="Times New Roman"/>
          <w:color w:val="333333"/>
          <w:sz w:val="20"/>
          <w:szCs w:val="20"/>
        </w:rPr>
      </w:pPr>
      <w:r w:rsidRPr="00C67141">
        <w:rPr>
          <w:rFonts w:ascii="Helvetica" w:hAnsi="Helvetica" w:cs="Times New Roman"/>
          <w:color w:val="333333"/>
          <w:sz w:val="20"/>
          <w:szCs w:val="20"/>
        </w:rPr>
        <w:t>Exhibit 12.1 depicts the levels of hierarchy within a public stock company. The state or society grants a charter of incorporation to the company’s shareholders—its owners, who legally own stock in the company. The shareholders appoint a board of directors to govern and oversee the firm’s management. The managers hire, supervise, and coordinate employees to manufacture products and provide services. The public stock company enjoys four characteristics that make it an attractive corporate form:6</w:t>
      </w:r>
    </w:p>
    <w:tbl>
      <w:tblPr>
        <w:tblW w:w="0" w:type="auto"/>
        <w:tblCellMar>
          <w:top w:w="15" w:type="dxa"/>
          <w:left w:w="15" w:type="dxa"/>
          <w:bottom w:w="15" w:type="dxa"/>
          <w:right w:w="15" w:type="dxa"/>
        </w:tblCellMar>
        <w:tblLook w:val="04A0" w:firstRow="1" w:lastRow="0" w:firstColumn="1" w:lastColumn="0" w:noHBand="0" w:noVBand="1"/>
      </w:tblPr>
      <w:tblGrid>
        <w:gridCol w:w="1663"/>
        <w:gridCol w:w="4468"/>
      </w:tblGrid>
      <w:tr w:rsidR="00C67141" w:rsidRPr="00C67141">
        <w:trPr>
          <w:divId w:val="1903714678"/>
        </w:trPr>
        <w:tc>
          <w:tcPr>
            <w:tcW w:w="0" w:type="auto"/>
            <w:vAlign w:val="center"/>
            <w:hideMark/>
          </w:tcPr>
          <w:p w:rsidR="00C67141" w:rsidRPr="00C67141" w:rsidRDefault="00C67141" w:rsidP="00C67141">
            <w:pPr>
              <w:textAlignment w:val="top"/>
              <w:divId w:val="1422943430"/>
              <w:rPr>
                <w:rFonts w:ascii="Times New Roman" w:eastAsia="Times New Roman" w:hAnsi="Times New Roman" w:cs="Times New Roman"/>
                <w:b/>
                <w:bCs/>
                <w:color w:val="83AEAD"/>
                <w:sz w:val="26"/>
                <w:szCs w:val="26"/>
              </w:rPr>
            </w:pPr>
            <w:r w:rsidRPr="00C67141">
              <w:rPr>
                <w:rFonts w:ascii="Times New Roman" w:eastAsia="Times New Roman" w:hAnsi="Times New Roman" w:cs="Times New Roman"/>
                <w:b/>
                <w:bCs/>
                <w:color w:val="83AEAD"/>
                <w:sz w:val="26"/>
                <w:szCs w:val="26"/>
              </w:rPr>
              <w:t>EXHIBIT 12.1</w:t>
            </w:r>
          </w:p>
        </w:tc>
        <w:tc>
          <w:tcPr>
            <w:tcW w:w="0" w:type="auto"/>
            <w:tcMar>
              <w:top w:w="15" w:type="dxa"/>
              <w:left w:w="90" w:type="dxa"/>
              <w:bottom w:w="15" w:type="dxa"/>
              <w:right w:w="15" w:type="dxa"/>
            </w:tcMar>
            <w:vAlign w:val="center"/>
            <w:hideMark/>
          </w:tcPr>
          <w:p w:rsidR="00C67141" w:rsidRPr="00C67141" w:rsidRDefault="00C67141" w:rsidP="00C67141">
            <w:pPr>
              <w:rPr>
                <w:rFonts w:ascii="Times New Roman" w:eastAsia="Times New Roman" w:hAnsi="Times New Roman" w:cs="Times New Roman"/>
                <w:sz w:val="24"/>
                <w:szCs w:val="24"/>
              </w:rPr>
            </w:pPr>
            <w:r w:rsidRPr="00C67141">
              <w:rPr>
                <w:rFonts w:ascii="Times New Roman" w:eastAsia="Times New Roman" w:hAnsi="Times New Roman" w:cs="Times New Roman"/>
                <w:sz w:val="21"/>
                <w:szCs w:val="21"/>
              </w:rPr>
              <w:t>The Public Stock Company: Hierarchy of Authority</w:t>
            </w:r>
          </w:p>
        </w:tc>
      </w:tr>
    </w:tbl>
    <w:p w:rsidR="00C67141" w:rsidRPr="00C67141" w:rsidRDefault="00C67141" w:rsidP="00C67141">
      <w:pPr>
        <w:divId w:val="899898924"/>
        <w:rPr>
          <w:rFonts w:ascii="Helvetica" w:eastAsia="Times New Roman" w:hAnsi="Helvetica" w:cs="Times New Roman"/>
          <w:color w:val="333333"/>
          <w:sz w:val="24"/>
          <w:szCs w:val="24"/>
        </w:rPr>
      </w:pPr>
      <w:r w:rsidRPr="00C67141">
        <w:rPr>
          <w:rFonts w:ascii="Helvetica" w:eastAsia="Times New Roman" w:hAnsi="Helvetica" w:cs="Times New Roman"/>
          <w:noProof/>
          <w:color w:val="333333"/>
          <w:sz w:val="24"/>
          <w:szCs w:val="24"/>
        </w:rPr>
        <w:lastRenderedPageBreak/>
        <w:drawing>
          <wp:inline distT="0" distB="0" distL="0" distR="0" wp14:anchorId="06F5FC0C" wp14:editId="15EF5987">
            <wp:extent cx="1852930" cy="4508500"/>
            <wp:effectExtent l="0" t="0" r="1270" b="0"/>
            <wp:docPr id="8" name="Picture 8" descr="/private/var/mobile/Containers/Data/Application/C214022C-B9FF-449E-957A-F21E29A0A98D/tmp/WebArchiveCopyPasteTempFiles/rot20477_p4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760545_001_011836" descr="/private/var/mobile/Containers/Data/Application/C214022C-B9FF-449E-957A-F21E29A0A98D/tmp/WebArchiveCopyPasteTempFiles/rot20477_p404-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2930" cy="4508500"/>
                    </a:xfrm>
                    <a:prstGeom prst="rect">
                      <a:avLst/>
                    </a:prstGeom>
                    <a:noFill/>
                    <a:ln>
                      <a:noFill/>
                    </a:ln>
                  </pic:spPr>
                </pic:pic>
              </a:graphicData>
            </a:graphic>
          </wp:inline>
        </w:drawing>
      </w:r>
    </w:p>
    <w:p w:rsidR="00C67141" w:rsidRPr="00C67141" w:rsidRDefault="00C67141" w:rsidP="00C67141">
      <w:pPr>
        <w:shd w:val="clear" w:color="auto" w:fill="FFFFFF"/>
        <w:jc w:val="center"/>
        <w:divId w:val="425611524"/>
        <w:rPr>
          <w:rFonts w:ascii="Verdana" w:eastAsia="Times New Roman" w:hAnsi="Verdana" w:cs="Times New Roman"/>
          <w:color w:val="333333"/>
          <w:sz w:val="14"/>
          <w:szCs w:val="14"/>
        </w:rPr>
      </w:pPr>
      <w:r w:rsidRPr="00C67141">
        <w:rPr>
          <w:rFonts w:ascii="Verdana" w:eastAsia="Times New Roman" w:hAnsi="Verdana" w:cs="Times New Roman"/>
          <w:color w:val="333333"/>
          <w:sz w:val="14"/>
          <w:szCs w:val="14"/>
        </w:rPr>
        <w:t>Page 404</w:t>
      </w:r>
    </w:p>
    <w:tbl>
      <w:tblPr>
        <w:tblW w:w="0" w:type="auto"/>
        <w:tblCellMar>
          <w:top w:w="15" w:type="dxa"/>
          <w:left w:w="15" w:type="dxa"/>
          <w:bottom w:w="15" w:type="dxa"/>
          <w:right w:w="15" w:type="dxa"/>
        </w:tblCellMar>
        <w:tblLook w:val="04A0" w:firstRow="1" w:lastRow="0" w:firstColumn="1" w:lastColumn="0" w:noHBand="0" w:noVBand="1"/>
      </w:tblPr>
      <w:tblGrid>
        <w:gridCol w:w="180"/>
        <w:gridCol w:w="9180"/>
      </w:tblGrid>
      <w:tr w:rsidR="00C67141" w:rsidRPr="00C67141">
        <w:trPr>
          <w:divId w:val="1893885708"/>
        </w:trPr>
        <w:tc>
          <w:tcPr>
            <w:tcW w:w="0" w:type="auto"/>
            <w:hideMark/>
          </w:tcPr>
          <w:p w:rsidR="00C67141" w:rsidRPr="00C67141" w:rsidRDefault="00C67141" w:rsidP="00C67141">
            <w:pPr>
              <w:spacing w:before="150" w:after="150" w:line="255" w:lineRule="atLeast"/>
              <w:jc w:val="right"/>
              <w:rPr>
                <w:rFonts w:ascii="Times New Roman" w:hAnsi="Times New Roman" w:cs="Times New Roman"/>
                <w:sz w:val="20"/>
                <w:szCs w:val="20"/>
              </w:rPr>
            </w:pPr>
            <w:r w:rsidRPr="00C67141">
              <w:rPr>
                <w:rFonts w:ascii="Times New Roman" w:hAnsi="Times New Roman" w:cs="Times New Roman"/>
                <w:sz w:val="20"/>
                <w:szCs w:val="20"/>
              </w:rPr>
              <w:t>1.</w:t>
            </w:r>
          </w:p>
        </w:tc>
        <w:tc>
          <w:tcPr>
            <w:tcW w:w="0" w:type="auto"/>
            <w:hideMark/>
          </w:tcPr>
          <w:p w:rsidR="00C67141" w:rsidRPr="00C67141" w:rsidRDefault="00C67141" w:rsidP="00C67141">
            <w:pPr>
              <w:spacing w:before="150" w:after="150" w:line="255" w:lineRule="atLeast"/>
              <w:rPr>
                <w:rFonts w:ascii="Times New Roman" w:hAnsi="Times New Roman" w:cs="Times New Roman"/>
                <w:sz w:val="20"/>
                <w:szCs w:val="20"/>
              </w:rPr>
            </w:pPr>
            <w:r w:rsidRPr="00C67141">
              <w:rPr>
                <w:rFonts w:ascii="Times New Roman" w:hAnsi="Times New Roman" w:cs="Times New Roman"/>
                <w:i/>
                <w:iCs/>
                <w:sz w:val="20"/>
                <w:szCs w:val="20"/>
              </w:rPr>
              <w:t>Limited liability for investors.</w:t>
            </w:r>
            <w:r w:rsidRPr="00C67141">
              <w:rPr>
                <w:rFonts w:ascii="Times New Roman" w:hAnsi="Times New Roman" w:cs="Times New Roman"/>
                <w:sz w:val="20"/>
                <w:szCs w:val="20"/>
              </w:rPr>
              <w:t> This characteristic means that the shareholders who provide the risk capital are liable only to the capital specifically invested, and not for other investments they may have made or for their personal wealth. Limited liability encourages investments by the wider public and entrepreneurial risk-taking.</w:t>
            </w:r>
          </w:p>
        </w:tc>
      </w:tr>
      <w:tr w:rsidR="00C67141" w:rsidRPr="00C67141">
        <w:trPr>
          <w:divId w:val="1893885708"/>
        </w:trPr>
        <w:tc>
          <w:tcPr>
            <w:tcW w:w="0" w:type="auto"/>
            <w:hideMark/>
          </w:tcPr>
          <w:p w:rsidR="00C67141" w:rsidRPr="00C67141" w:rsidRDefault="00C67141" w:rsidP="00C67141">
            <w:pPr>
              <w:spacing w:before="150" w:after="150" w:line="255" w:lineRule="atLeast"/>
              <w:jc w:val="right"/>
              <w:rPr>
                <w:rFonts w:ascii="Times New Roman" w:hAnsi="Times New Roman" w:cs="Times New Roman"/>
                <w:sz w:val="20"/>
                <w:szCs w:val="20"/>
              </w:rPr>
            </w:pPr>
            <w:r w:rsidRPr="00C67141">
              <w:rPr>
                <w:rFonts w:ascii="Times New Roman" w:hAnsi="Times New Roman" w:cs="Times New Roman"/>
                <w:sz w:val="20"/>
                <w:szCs w:val="20"/>
              </w:rPr>
              <w:t>2.</w:t>
            </w:r>
          </w:p>
        </w:tc>
        <w:tc>
          <w:tcPr>
            <w:tcW w:w="0" w:type="auto"/>
            <w:hideMark/>
          </w:tcPr>
          <w:p w:rsidR="00C67141" w:rsidRPr="00C67141" w:rsidRDefault="00C67141" w:rsidP="00C67141">
            <w:pPr>
              <w:spacing w:before="150" w:after="150" w:line="255" w:lineRule="atLeast"/>
              <w:rPr>
                <w:rFonts w:ascii="Times New Roman" w:hAnsi="Times New Roman" w:cs="Times New Roman"/>
                <w:sz w:val="20"/>
                <w:szCs w:val="20"/>
              </w:rPr>
            </w:pPr>
            <w:r w:rsidRPr="00C67141">
              <w:rPr>
                <w:rFonts w:ascii="Times New Roman" w:hAnsi="Times New Roman" w:cs="Times New Roman"/>
                <w:i/>
                <w:iCs/>
                <w:sz w:val="20"/>
                <w:szCs w:val="20"/>
              </w:rPr>
              <w:t>Transferability of investor ownership</w:t>
            </w:r>
            <w:r w:rsidRPr="00C67141">
              <w:rPr>
                <w:rFonts w:ascii="Times New Roman" w:hAnsi="Times New Roman" w:cs="Times New Roman"/>
                <w:sz w:val="20"/>
                <w:szCs w:val="20"/>
              </w:rPr>
              <w:t> through the trading of shares of stock on exchanges such as the New York Stock Exchange (NYSE) and NASDAQ,7 or exchanges in other countries. Each share represents only a minute fraction of ownership in a company, thus easing transferability.</w:t>
            </w:r>
          </w:p>
        </w:tc>
      </w:tr>
      <w:tr w:rsidR="00C67141" w:rsidRPr="00C67141">
        <w:trPr>
          <w:divId w:val="1893885708"/>
        </w:trPr>
        <w:tc>
          <w:tcPr>
            <w:tcW w:w="0" w:type="auto"/>
            <w:hideMark/>
          </w:tcPr>
          <w:p w:rsidR="00C67141" w:rsidRPr="00C67141" w:rsidRDefault="00C67141" w:rsidP="00C67141">
            <w:pPr>
              <w:spacing w:before="150" w:after="150" w:line="255" w:lineRule="atLeast"/>
              <w:jc w:val="right"/>
              <w:rPr>
                <w:rFonts w:ascii="Times New Roman" w:hAnsi="Times New Roman" w:cs="Times New Roman"/>
                <w:sz w:val="20"/>
                <w:szCs w:val="20"/>
              </w:rPr>
            </w:pPr>
            <w:r w:rsidRPr="00C67141">
              <w:rPr>
                <w:rFonts w:ascii="Times New Roman" w:hAnsi="Times New Roman" w:cs="Times New Roman"/>
                <w:sz w:val="20"/>
                <w:szCs w:val="20"/>
              </w:rPr>
              <w:t>3.</w:t>
            </w:r>
          </w:p>
        </w:tc>
        <w:tc>
          <w:tcPr>
            <w:tcW w:w="0" w:type="auto"/>
            <w:hideMark/>
          </w:tcPr>
          <w:p w:rsidR="00C67141" w:rsidRPr="00C67141" w:rsidRDefault="00C67141" w:rsidP="00C67141">
            <w:pPr>
              <w:spacing w:before="150" w:after="150" w:line="255" w:lineRule="atLeast"/>
              <w:rPr>
                <w:rFonts w:ascii="Times New Roman" w:hAnsi="Times New Roman" w:cs="Times New Roman"/>
                <w:sz w:val="20"/>
                <w:szCs w:val="20"/>
              </w:rPr>
            </w:pPr>
            <w:r w:rsidRPr="00C67141">
              <w:rPr>
                <w:rFonts w:ascii="Times New Roman" w:hAnsi="Times New Roman" w:cs="Times New Roman"/>
                <w:i/>
                <w:iCs/>
                <w:sz w:val="20"/>
                <w:szCs w:val="20"/>
              </w:rPr>
              <w:t>Legal personality</w:t>
            </w:r>
            <w:r w:rsidRPr="00C67141">
              <w:rPr>
                <w:rFonts w:ascii="Times New Roman" w:hAnsi="Times New Roman" w:cs="Times New Roman"/>
                <w:sz w:val="20"/>
                <w:szCs w:val="20"/>
              </w:rPr>
              <w:t>—that is, the law regards a non-living entity such as a for-profit firm as similar to a person, with legal rights and obligations. Legal personality allows a firm’s continuation beyond the founder or the founder’s family.</w:t>
            </w:r>
          </w:p>
        </w:tc>
      </w:tr>
      <w:tr w:rsidR="00C67141" w:rsidRPr="00C67141">
        <w:trPr>
          <w:divId w:val="1893885708"/>
        </w:trPr>
        <w:tc>
          <w:tcPr>
            <w:tcW w:w="0" w:type="auto"/>
            <w:hideMark/>
          </w:tcPr>
          <w:p w:rsidR="00C67141" w:rsidRPr="00C67141" w:rsidRDefault="00C67141" w:rsidP="00C67141">
            <w:pPr>
              <w:spacing w:before="150" w:after="150" w:line="255" w:lineRule="atLeast"/>
              <w:jc w:val="right"/>
              <w:rPr>
                <w:rFonts w:ascii="Times New Roman" w:hAnsi="Times New Roman" w:cs="Times New Roman"/>
                <w:sz w:val="20"/>
                <w:szCs w:val="20"/>
              </w:rPr>
            </w:pPr>
            <w:r w:rsidRPr="00C67141">
              <w:rPr>
                <w:rFonts w:ascii="Times New Roman" w:hAnsi="Times New Roman" w:cs="Times New Roman"/>
                <w:sz w:val="20"/>
                <w:szCs w:val="20"/>
              </w:rPr>
              <w:t>4.</w:t>
            </w:r>
          </w:p>
        </w:tc>
        <w:tc>
          <w:tcPr>
            <w:tcW w:w="0" w:type="auto"/>
            <w:hideMark/>
          </w:tcPr>
          <w:p w:rsidR="00C67141" w:rsidRPr="00C67141" w:rsidRDefault="00C67141" w:rsidP="00C67141">
            <w:pPr>
              <w:spacing w:before="150" w:after="150" w:line="255" w:lineRule="atLeast"/>
              <w:rPr>
                <w:rFonts w:ascii="Times New Roman" w:hAnsi="Times New Roman" w:cs="Times New Roman"/>
                <w:sz w:val="20"/>
                <w:szCs w:val="20"/>
              </w:rPr>
            </w:pPr>
            <w:r w:rsidRPr="00C67141">
              <w:rPr>
                <w:rFonts w:ascii="Times New Roman" w:hAnsi="Times New Roman" w:cs="Times New Roman"/>
                <w:i/>
                <w:iCs/>
                <w:sz w:val="20"/>
                <w:szCs w:val="20"/>
              </w:rPr>
              <w:t>Separation of legal ownership and management control.</w:t>
            </w:r>
            <w:r w:rsidRPr="00C67141">
              <w:rPr>
                <w:rFonts w:ascii="Times New Roman" w:hAnsi="Times New Roman" w:cs="Times New Roman"/>
                <w:sz w:val="20"/>
                <w:szCs w:val="20"/>
              </w:rPr>
              <w:t> 8 In publicly traded companies, the stockholders (the principals, represented by the board of directors) are the legal owners of the company, and they delegate decision-making authority to professional managers (the agents).</w:t>
            </w:r>
          </w:p>
        </w:tc>
      </w:tr>
    </w:tbl>
    <w:p w:rsidR="00C67141" w:rsidRPr="00C67141" w:rsidRDefault="00C67141" w:rsidP="00C67141">
      <w:pPr>
        <w:spacing w:before="150" w:after="150" w:line="255" w:lineRule="atLeast"/>
        <w:divId w:val="1893885708"/>
        <w:rPr>
          <w:rFonts w:ascii="Helvetica" w:hAnsi="Helvetica" w:cs="Times New Roman"/>
          <w:color w:val="333333"/>
          <w:sz w:val="20"/>
          <w:szCs w:val="20"/>
        </w:rPr>
      </w:pPr>
      <w:r w:rsidRPr="00C67141">
        <w:rPr>
          <w:rFonts w:ascii="Helvetica" w:hAnsi="Helvetica" w:cs="Times New Roman"/>
          <w:color w:val="333333"/>
          <w:sz w:val="20"/>
          <w:szCs w:val="20"/>
        </w:rPr>
        <w:t xml:space="preserve">The public stock company has been a major contributor to value creation since its inception as a new organizational form more than a hundred years ago. Michael Porter and others, however, argue that many public companies have defined value creation too narrowly in terms of financial performance.9 This </w:t>
      </w:r>
      <w:r w:rsidRPr="00C67141">
        <w:rPr>
          <w:rFonts w:ascii="Helvetica" w:hAnsi="Helvetica" w:cs="Times New Roman"/>
          <w:color w:val="333333"/>
          <w:sz w:val="20"/>
          <w:szCs w:val="20"/>
        </w:rPr>
        <w:lastRenderedPageBreak/>
        <w:t>in turn has contributed to some of the </w:t>
      </w:r>
      <w:r w:rsidRPr="00C67141">
        <w:rPr>
          <w:rFonts w:ascii="Helvetica" w:hAnsi="Helvetica" w:cs="Times New Roman"/>
          <w:i/>
          <w:iCs/>
          <w:color w:val="333333"/>
          <w:sz w:val="20"/>
          <w:szCs w:val="20"/>
        </w:rPr>
        <w:t>black swan events</w:t>
      </w:r>
      <w:r w:rsidRPr="00C67141">
        <w:rPr>
          <w:rFonts w:ascii="Helvetica" w:hAnsi="Helvetica" w:cs="Times New Roman"/>
          <w:color w:val="333333"/>
          <w:sz w:val="20"/>
          <w:szCs w:val="20"/>
        </w:rPr>
        <w:t> discussed in Chapter 1, such as large-scale accounting scandals and the global financial crisis. Managers’ pursuit of strategies that define value creation too narrowly may have negative consequences for society at large, as evidenced during the global financial crisis. This narrow focus has contributed to the loss of trust in the corporation as a vehicle for value creation, not only for shareholders but also other stakeholders and society.</w:t>
      </w:r>
    </w:p>
    <w:p w:rsidR="00C67141" w:rsidRPr="00C67141" w:rsidRDefault="00C67141" w:rsidP="00C67141">
      <w:pPr>
        <w:spacing w:before="150" w:after="150" w:line="255" w:lineRule="atLeast"/>
        <w:divId w:val="1893885708"/>
        <w:rPr>
          <w:rFonts w:ascii="Helvetica" w:hAnsi="Helvetica" w:cs="Times New Roman"/>
          <w:color w:val="333333"/>
          <w:sz w:val="20"/>
          <w:szCs w:val="20"/>
        </w:rPr>
      </w:pPr>
      <w:r w:rsidRPr="00C67141">
        <w:rPr>
          <w:rFonts w:ascii="Helvetica" w:hAnsi="Helvetica" w:cs="Times New Roman"/>
          <w:color w:val="333333"/>
          <w:sz w:val="20"/>
          <w:szCs w:val="20"/>
        </w:rPr>
        <w:t>Nobel laureate Milton Friedman stated his view of the firm’s social obligations: “There is one and only one social responsibility of business—to use its resources and engage in activities designed to increase its profits so long as it stays within the rules of the game, which is to say, engages in open and free competition without deception or fraud.”10 This notion is often captured by the term </w:t>
      </w:r>
      <w:r w:rsidRPr="00C67141">
        <w:rPr>
          <w:rFonts w:ascii="Helvetica" w:hAnsi="Helvetica" w:cs="Times New Roman"/>
          <w:b/>
          <w:bCs/>
          <w:color w:val="333333"/>
          <w:sz w:val="20"/>
          <w:szCs w:val="20"/>
        </w:rPr>
        <w:t>shareholder capitalism.</w:t>
      </w:r>
      <w:r w:rsidRPr="00C67141">
        <w:rPr>
          <w:rFonts w:ascii="Helvetica" w:hAnsi="Helvetica" w:cs="Times New Roman"/>
          <w:color w:val="333333"/>
          <w:sz w:val="20"/>
          <w:szCs w:val="20"/>
        </w:rPr>
        <w:t> According to this perspective, shareholders—the providers of the necessary risk capital and the legal owners of public companies—have the most legitimate claim on profits. When introducing the notion of </w:t>
      </w:r>
      <w:r w:rsidRPr="00C67141">
        <w:rPr>
          <w:rFonts w:ascii="Helvetica" w:hAnsi="Helvetica" w:cs="Times New Roman"/>
          <w:i/>
          <w:iCs/>
          <w:color w:val="333333"/>
          <w:sz w:val="20"/>
          <w:szCs w:val="20"/>
        </w:rPr>
        <w:t>corporate social responsibility</w:t>
      </w:r>
      <w:r w:rsidRPr="00C67141">
        <w:rPr>
          <w:rFonts w:ascii="Helvetica" w:hAnsi="Helvetica" w:cs="Times New Roman"/>
          <w:color w:val="333333"/>
          <w:sz w:val="20"/>
          <w:szCs w:val="20"/>
        </w:rPr>
        <w:t> (CSR) in Chapter 1, though, we noted that a firm’s obligations frequently go beyond the economic responsibility to increase profits, extending to ethical and philanthropic expectations that society has of the business enterprise.11</w:t>
      </w:r>
    </w:p>
    <w:p w:rsidR="00C67141" w:rsidRPr="00C67141" w:rsidRDefault="00C67141" w:rsidP="00C67141">
      <w:pPr>
        <w:spacing w:before="150" w:after="150" w:line="255" w:lineRule="atLeast"/>
        <w:divId w:val="1893885708"/>
        <w:rPr>
          <w:rFonts w:ascii="Helvetica" w:hAnsi="Helvetica" w:cs="Times New Roman"/>
          <w:color w:val="333333"/>
          <w:sz w:val="20"/>
          <w:szCs w:val="20"/>
        </w:rPr>
      </w:pPr>
      <w:r w:rsidRPr="00C67141">
        <w:rPr>
          <w:rFonts w:ascii="Helvetica" w:hAnsi="Helvetica" w:cs="Times New Roman"/>
          <w:color w:val="333333"/>
          <w:sz w:val="20"/>
          <w:szCs w:val="20"/>
        </w:rPr>
        <w:t>A recent survey measured attitudes toward business responsibility in various countries. The survey asked the top 25 percent of income earners holding a university degree in each country surveyed whether they agree with Milton Friedman’s philosophy that “the social responsibility of business is to increase its profits.”12 The results, displayed in Exhibit 12.2, revealed some intriguing national differences. The United Arab Emirates (UAE), a small and business-friendly federation of seven emirates, had the highest level of agreement, at 84 percent. The top five also included a number of Asian countries (Japan, India, South Korea, and Singapore), where roughly two-thirds agreed.</w:t>
      </w:r>
    </w:p>
    <w:tbl>
      <w:tblPr>
        <w:tblW w:w="0" w:type="auto"/>
        <w:tblCellMar>
          <w:top w:w="15" w:type="dxa"/>
          <w:left w:w="15" w:type="dxa"/>
          <w:bottom w:w="15" w:type="dxa"/>
          <w:right w:w="15" w:type="dxa"/>
        </w:tblCellMar>
        <w:tblLook w:val="04A0" w:firstRow="1" w:lastRow="0" w:firstColumn="1" w:lastColumn="0" w:noHBand="0" w:noVBand="1"/>
      </w:tblPr>
      <w:tblGrid>
        <w:gridCol w:w="1663"/>
        <w:gridCol w:w="5075"/>
      </w:tblGrid>
      <w:tr w:rsidR="00C67141" w:rsidRPr="00C67141">
        <w:trPr>
          <w:divId w:val="63187807"/>
        </w:trPr>
        <w:tc>
          <w:tcPr>
            <w:tcW w:w="0" w:type="auto"/>
            <w:vAlign w:val="center"/>
            <w:hideMark/>
          </w:tcPr>
          <w:p w:rsidR="00C67141" w:rsidRPr="00C67141" w:rsidRDefault="00C67141" w:rsidP="00C67141">
            <w:pPr>
              <w:textAlignment w:val="top"/>
              <w:divId w:val="17439355"/>
              <w:rPr>
                <w:rFonts w:ascii="Times New Roman" w:eastAsia="Times New Roman" w:hAnsi="Times New Roman" w:cs="Times New Roman"/>
                <w:b/>
                <w:bCs/>
                <w:color w:val="83AEAD"/>
                <w:sz w:val="26"/>
                <w:szCs w:val="26"/>
              </w:rPr>
            </w:pPr>
            <w:r w:rsidRPr="00C67141">
              <w:rPr>
                <w:rFonts w:ascii="Times New Roman" w:eastAsia="Times New Roman" w:hAnsi="Times New Roman" w:cs="Times New Roman"/>
                <w:b/>
                <w:bCs/>
                <w:color w:val="83AEAD"/>
                <w:sz w:val="26"/>
                <w:szCs w:val="26"/>
              </w:rPr>
              <w:t>EXHIBIT 12.2</w:t>
            </w:r>
          </w:p>
        </w:tc>
        <w:tc>
          <w:tcPr>
            <w:tcW w:w="0" w:type="auto"/>
            <w:tcMar>
              <w:top w:w="15" w:type="dxa"/>
              <w:left w:w="90" w:type="dxa"/>
              <w:bottom w:w="15" w:type="dxa"/>
              <w:right w:w="15" w:type="dxa"/>
            </w:tcMar>
            <w:vAlign w:val="center"/>
            <w:hideMark/>
          </w:tcPr>
          <w:p w:rsidR="00C67141" w:rsidRPr="00C67141" w:rsidRDefault="00C67141" w:rsidP="00C67141">
            <w:pPr>
              <w:rPr>
                <w:rFonts w:ascii="Times New Roman" w:eastAsia="Times New Roman" w:hAnsi="Times New Roman" w:cs="Times New Roman"/>
                <w:sz w:val="24"/>
                <w:szCs w:val="24"/>
              </w:rPr>
            </w:pPr>
            <w:r w:rsidRPr="00C67141">
              <w:rPr>
                <w:rFonts w:ascii="Times New Roman" w:eastAsia="Times New Roman" w:hAnsi="Times New Roman" w:cs="Times New Roman"/>
                <w:sz w:val="21"/>
                <w:szCs w:val="21"/>
              </w:rPr>
              <w:t>Global Survey of Attitudes toward Business Responsibility</w:t>
            </w:r>
          </w:p>
        </w:tc>
      </w:tr>
    </w:tbl>
    <w:p w:rsidR="00C67141" w:rsidRPr="00C67141" w:rsidRDefault="00C67141" w:rsidP="00C67141">
      <w:pPr>
        <w:divId w:val="2092047532"/>
        <w:rPr>
          <w:rFonts w:ascii="Helvetica" w:eastAsia="Times New Roman" w:hAnsi="Helvetica" w:cs="Times New Roman"/>
          <w:color w:val="333333"/>
          <w:sz w:val="24"/>
          <w:szCs w:val="24"/>
        </w:rPr>
      </w:pPr>
      <w:r w:rsidRPr="00C67141">
        <w:rPr>
          <w:rFonts w:ascii="Helvetica" w:eastAsia="Times New Roman" w:hAnsi="Helvetica" w:cs="Times New Roman"/>
          <w:noProof/>
          <w:color w:val="333333"/>
          <w:sz w:val="24"/>
          <w:szCs w:val="24"/>
        </w:rPr>
        <w:drawing>
          <wp:inline distT="0" distB="0" distL="0" distR="0" wp14:anchorId="25D2FAC1" wp14:editId="65643E96">
            <wp:extent cx="6273800" cy="3951605"/>
            <wp:effectExtent l="0" t="0" r="0" b="0"/>
            <wp:docPr id="9" name="Picture 9" descr="/private/var/mobile/Containers/Data/Application/C214022C-B9FF-449E-957A-F21E29A0A98D/tmp/WebArchiveCopyPasteTempFiles/rot20477_p4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1259760545_001_011859" descr="/private/var/mobile/Containers/Data/Application/C214022C-B9FF-449E-957A-F21E29A0A98D/tmp/WebArchiveCopyPasteTempFiles/rot20477_p405-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73800" cy="3951605"/>
                    </a:xfrm>
                    <a:prstGeom prst="rect">
                      <a:avLst/>
                    </a:prstGeom>
                    <a:noFill/>
                    <a:ln>
                      <a:noFill/>
                    </a:ln>
                  </pic:spPr>
                </pic:pic>
              </a:graphicData>
            </a:graphic>
          </wp:inline>
        </w:drawing>
      </w:r>
    </w:p>
    <w:p w:rsidR="00C67141" w:rsidRPr="00C67141" w:rsidRDefault="00C67141" w:rsidP="00C67141">
      <w:pPr>
        <w:divId w:val="1945726932"/>
        <w:rPr>
          <w:rFonts w:ascii="Helvetica" w:eastAsia="Times New Roman" w:hAnsi="Helvetica" w:cs="Times New Roman"/>
          <w:color w:val="333333"/>
          <w:sz w:val="20"/>
          <w:szCs w:val="20"/>
        </w:rPr>
      </w:pPr>
      <w:r w:rsidRPr="00C67141">
        <w:rPr>
          <w:rFonts w:ascii="Helvetica" w:eastAsia="Times New Roman" w:hAnsi="Helvetica" w:cs="Times New Roman"/>
          <w:color w:val="333333"/>
          <w:sz w:val="20"/>
          <w:szCs w:val="20"/>
        </w:rPr>
        <w:lastRenderedPageBreak/>
        <w:t>The bar chart indicates the percentage of members of the “informed public” public “strongly agree/somewhat agree” agree Milton Friedman’s philosophy, “the social responsibility of business is to increase its profits.”</w:t>
      </w:r>
    </w:p>
    <w:p w:rsidR="00C67141" w:rsidRPr="00C67141" w:rsidRDefault="00C67141" w:rsidP="00C67141">
      <w:pPr>
        <w:divId w:val="1189610453"/>
        <w:rPr>
          <w:rFonts w:ascii="Helvetica" w:eastAsia="Times New Roman" w:hAnsi="Helvetica" w:cs="Times New Roman"/>
          <w:color w:val="333333"/>
          <w:sz w:val="24"/>
          <w:szCs w:val="24"/>
        </w:rPr>
      </w:pPr>
      <w:r w:rsidRPr="00C67141">
        <w:rPr>
          <w:rFonts w:ascii="Helvetica" w:eastAsia="Times New Roman" w:hAnsi="Helvetica" w:cs="Times New Roman"/>
          <w:color w:val="333333"/>
          <w:sz w:val="24"/>
          <w:szCs w:val="24"/>
        </w:rPr>
        <w:t>Source: Author’s depiction of data from Edelman’s (2011) Trust Barometer as included in “Milton Friedman goes on tour,” The Economist, January 27, 2011.</w:t>
      </w:r>
    </w:p>
    <w:p w:rsidR="00C67141" w:rsidRPr="00C67141" w:rsidRDefault="00C67141" w:rsidP="00C67141">
      <w:pPr>
        <w:spacing w:before="150" w:after="150" w:line="255" w:lineRule="atLeast"/>
        <w:divId w:val="1893885708"/>
        <w:rPr>
          <w:rFonts w:ascii="Helvetica" w:hAnsi="Helvetica" w:cs="Times New Roman"/>
          <w:color w:val="333333"/>
          <w:sz w:val="20"/>
          <w:szCs w:val="20"/>
        </w:rPr>
      </w:pPr>
      <w:r w:rsidRPr="00C67141">
        <w:rPr>
          <w:rFonts w:ascii="Helvetica" w:hAnsi="Helvetica" w:cs="Times New Roman"/>
          <w:color w:val="333333"/>
          <w:sz w:val="20"/>
          <w:szCs w:val="20"/>
        </w:rPr>
        <w:t>The countries where the fewest people agreed with Friedman’s philosophy were China, Brazil, Germany, Italy, and Spain; fewer than 40 percent of respondents in those countries supported an exclusive focus on shareholder capitalism. Although they have achieved a high standard of living, European countries such as Germany have tempered the free market system with a strong social element, leading to so-called </w:t>
      </w:r>
      <w:r w:rsidRPr="00C67141">
        <w:rPr>
          <w:rFonts w:ascii="Helvetica" w:hAnsi="Helvetica" w:cs="Times New Roman"/>
          <w:i/>
          <w:iCs/>
          <w:color w:val="333333"/>
          <w:sz w:val="20"/>
          <w:szCs w:val="20"/>
        </w:rPr>
        <w:t>social market economies.</w:t>
      </w:r>
      <w:r w:rsidRPr="00C67141">
        <w:rPr>
          <w:rFonts w:ascii="Helvetica" w:hAnsi="Helvetica" w:cs="Times New Roman"/>
          <w:color w:val="333333"/>
          <w:sz w:val="20"/>
          <w:szCs w:val="20"/>
        </w:rPr>
        <w:t> The respondents from these countries seemed to be more supportive of a </w:t>
      </w:r>
      <w:r w:rsidRPr="00C67141">
        <w:rPr>
          <w:rFonts w:ascii="Helvetica" w:hAnsi="Helvetica" w:cs="Times New Roman"/>
          <w:i/>
          <w:iCs/>
          <w:color w:val="333333"/>
          <w:sz w:val="20"/>
          <w:szCs w:val="20"/>
        </w:rPr>
        <w:t>stakeholder strategy</w:t>
      </w:r>
      <w:r w:rsidRPr="00C67141">
        <w:rPr>
          <w:rFonts w:ascii="Helvetica" w:hAnsi="Helvetica" w:cs="Times New Roman"/>
          <w:color w:val="333333"/>
          <w:sz w:val="20"/>
          <w:szCs w:val="20"/>
        </w:rPr>
        <w:t xml:space="preserve"> approach to business. Some critics, however, would argue that too strong a focus on the social dimension contributed to the European debt crisis because sovereign governments such as Greece, Italy, and Spain took on </w:t>
      </w:r>
      <w:proofErr w:type="spellStart"/>
      <w:r w:rsidRPr="00C67141">
        <w:rPr>
          <w:rFonts w:ascii="Helvetica" w:hAnsi="Helvetica" w:cs="Times New Roman"/>
          <w:color w:val="333333"/>
          <w:sz w:val="20"/>
          <w:szCs w:val="20"/>
        </w:rPr>
        <w:t>nonsustainable</w:t>
      </w:r>
      <w:proofErr w:type="spellEnd"/>
      <w:r w:rsidRPr="00C67141">
        <w:rPr>
          <w:rFonts w:ascii="Helvetica" w:hAnsi="Helvetica" w:cs="Times New Roman"/>
          <w:color w:val="333333"/>
          <w:sz w:val="20"/>
          <w:szCs w:val="20"/>
        </w:rPr>
        <w:t xml:space="preserve"> debt levels to fund social programs such as early retirement plans, government-funded health care, and so on. The United States placed roughly in the middle of the continuum. In particular, a bit more than half (56 percent) of U.S. respondents subscribed to Friedman’s philosophy.</w:t>
      </w:r>
    </w:p>
    <w:p w:rsidR="00C67141" w:rsidRPr="00C67141" w:rsidRDefault="00C67141" w:rsidP="00C67141">
      <w:pPr>
        <w:shd w:val="clear" w:color="auto" w:fill="FFFFFF"/>
        <w:jc w:val="center"/>
        <w:divId w:val="1897621278"/>
        <w:rPr>
          <w:rFonts w:ascii="Verdana" w:eastAsia="Times New Roman" w:hAnsi="Verdana" w:cs="Times New Roman"/>
          <w:color w:val="333333"/>
          <w:sz w:val="14"/>
          <w:szCs w:val="14"/>
        </w:rPr>
      </w:pPr>
      <w:r w:rsidRPr="00C67141">
        <w:rPr>
          <w:rFonts w:ascii="Verdana" w:eastAsia="Times New Roman" w:hAnsi="Verdana" w:cs="Times New Roman"/>
          <w:color w:val="333333"/>
          <w:sz w:val="14"/>
          <w:szCs w:val="14"/>
        </w:rPr>
        <w:t>Page 405</w:t>
      </w:r>
    </w:p>
    <w:p w:rsidR="00C67141" w:rsidRPr="00C67141" w:rsidRDefault="00C67141" w:rsidP="00C67141">
      <w:pPr>
        <w:spacing w:before="100" w:beforeAutospacing="1" w:after="100" w:afterAutospacing="1"/>
        <w:outlineLvl w:val="1"/>
        <w:divId w:val="1818257740"/>
        <w:rPr>
          <w:rFonts w:ascii="Helvetica" w:eastAsia="Times New Roman" w:hAnsi="Helvetica" w:cs="Times New Roman"/>
          <w:b/>
          <w:bCs/>
          <w:color w:val="6C8958"/>
          <w:sz w:val="27"/>
          <w:szCs w:val="27"/>
        </w:rPr>
      </w:pPr>
      <w:r w:rsidRPr="00C67141">
        <w:rPr>
          <w:rFonts w:ascii="Helvetica" w:eastAsia="Times New Roman" w:hAnsi="Helvetica" w:cs="Times New Roman"/>
          <w:b/>
          <w:bCs/>
          <w:color w:val="6C8958"/>
          <w:sz w:val="27"/>
          <w:szCs w:val="27"/>
        </w:rPr>
        <w:t>CREATING SHARED VALUE</w:t>
      </w:r>
    </w:p>
    <w:p w:rsidR="00C67141" w:rsidRPr="00C67141" w:rsidRDefault="00C67141" w:rsidP="00C67141">
      <w:pPr>
        <w:spacing w:before="150" w:after="150" w:line="255" w:lineRule="atLeast"/>
        <w:divId w:val="1818257740"/>
        <w:rPr>
          <w:rFonts w:ascii="Helvetica" w:hAnsi="Helvetica" w:cs="Times New Roman"/>
          <w:color w:val="333333"/>
          <w:sz w:val="20"/>
          <w:szCs w:val="20"/>
        </w:rPr>
      </w:pPr>
      <w:r w:rsidRPr="00C67141">
        <w:rPr>
          <w:rFonts w:ascii="Helvetica" w:hAnsi="Helvetica" w:cs="Times New Roman"/>
          <w:color w:val="333333"/>
          <w:sz w:val="20"/>
          <w:szCs w:val="20"/>
        </w:rPr>
        <w:t>In contrast to Milton Friedman, Porter argues that executives should not concentrate exclusively on increasing firm profits. Rather, the strategist should focus on creating </w:t>
      </w:r>
      <w:r w:rsidRPr="00C67141">
        <w:rPr>
          <w:rFonts w:ascii="Helvetica" w:hAnsi="Helvetica" w:cs="Times New Roman"/>
          <w:i/>
          <w:iCs/>
          <w:color w:val="333333"/>
          <w:sz w:val="20"/>
          <w:szCs w:val="20"/>
        </w:rPr>
        <w:t>shared value</w:t>
      </w:r>
      <w:r w:rsidRPr="00C67141">
        <w:rPr>
          <w:rFonts w:ascii="Helvetica" w:hAnsi="Helvetica" w:cs="Times New Roman"/>
          <w:color w:val="333333"/>
          <w:sz w:val="20"/>
          <w:szCs w:val="20"/>
        </w:rPr>
        <w:t>, a concept that involves creating economic value for shareholders while also creating social value by addressing society’s needs and challenges. He argues that managers need to reestablish the important relationship between superior firm performance and societal progress. This dual point of view, Porter argues, will not only allow companies to gain and sustain a competitive advantage but also reshape capitalism and its relationship to society.</w:t>
      </w:r>
    </w:p>
    <w:p w:rsidR="00C67141" w:rsidRPr="00C67141" w:rsidRDefault="00C67141" w:rsidP="00C67141">
      <w:pPr>
        <w:spacing w:before="150" w:after="150" w:line="255" w:lineRule="atLeast"/>
        <w:divId w:val="1818257740"/>
        <w:rPr>
          <w:rFonts w:ascii="Helvetica" w:hAnsi="Helvetica" w:cs="Times New Roman"/>
          <w:color w:val="333333"/>
          <w:sz w:val="20"/>
          <w:szCs w:val="20"/>
        </w:rPr>
      </w:pPr>
      <w:r w:rsidRPr="00C67141">
        <w:rPr>
          <w:rFonts w:ascii="Helvetica" w:hAnsi="Helvetica" w:cs="Times New Roman"/>
          <w:color w:val="333333"/>
          <w:sz w:val="20"/>
          <w:szCs w:val="20"/>
        </w:rPr>
        <w:t>The </w:t>
      </w:r>
      <w:r w:rsidRPr="00C67141">
        <w:rPr>
          <w:rFonts w:ascii="Helvetica" w:hAnsi="Helvetica" w:cs="Times New Roman"/>
          <w:b/>
          <w:bCs/>
          <w:color w:val="333333"/>
          <w:sz w:val="20"/>
          <w:szCs w:val="20"/>
        </w:rPr>
        <w:t>shared value creation framework</w:t>
      </w:r>
      <w:r w:rsidRPr="00C67141">
        <w:rPr>
          <w:rFonts w:ascii="Helvetica" w:hAnsi="Helvetica" w:cs="Times New Roman"/>
          <w:color w:val="333333"/>
          <w:sz w:val="20"/>
          <w:szCs w:val="20"/>
        </w:rPr>
        <w:t> proposes that managers maintain a dual focus on shareholder value creation and value creation for society. It recognizes that markets are defined not only by economic needs but also by societal needs. It also advances the perspective that </w:t>
      </w:r>
      <w:r w:rsidRPr="00C67141">
        <w:rPr>
          <w:rFonts w:ascii="Helvetica" w:hAnsi="Helvetica" w:cs="Times New Roman"/>
          <w:i/>
          <w:iCs/>
          <w:color w:val="333333"/>
          <w:sz w:val="20"/>
          <w:szCs w:val="20"/>
        </w:rPr>
        <w:t>externalities</w:t>
      </w:r>
      <w:r w:rsidRPr="00C67141">
        <w:rPr>
          <w:rFonts w:ascii="Helvetica" w:hAnsi="Helvetica" w:cs="Times New Roman"/>
          <w:color w:val="333333"/>
          <w:sz w:val="20"/>
          <w:szCs w:val="20"/>
        </w:rPr>
        <w:t> such as pollution, wasted energy, and costly accidents actually create </w:t>
      </w:r>
      <w:r w:rsidRPr="00C67141">
        <w:rPr>
          <w:rFonts w:ascii="Helvetica" w:hAnsi="Helvetica" w:cs="Times New Roman"/>
          <w:i/>
          <w:iCs/>
          <w:color w:val="333333"/>
          <w:sz w:val="20"/>
          <w:szCs w:val="20"/>
        </w:rPr>
        <w:t>internal costs</w:t>
      </w:r>
      <w:r w:rsidRPr="00C67141">
        <w:rPr>
          <w:rFonts w:ascii="Helvetica" w:hAnsi="Helvetica" w:cs="Times New Roman"/>
          <w:color w:val="333333"/>
          <w:sz w:val="20"/>
          <w:szCs w:val="20"/>
        </w:rPr>
        <w:t>, at least in lost reputation if not directly on the bottom line. Rather than pitting economic and societal needs in a trade-off, Porter suggests that the two can be reconciled to create a larger pie. The shared value creation framework seeks to enhance a firm’s competitiveness by identifying connections between economic and social needs, and then creating a competitive advantage by addressing these business opportunities.</w:t>
      </w:r>
    </w:p>
    <w:p w:rsidR="00C67141" w:rsidRPr="00C67141" w:rsidRDefault="00C67141" w:rsidP="00C67141">
      <w:pPr>
        <w:shd w:val="clear" w:color="auto" w:fill="FFFFFF"/>
        <w:jc w:val="center"/>
        <w:divId w:val="2110351104"/>
        <w:rPr>
          <w:rFonts w:ascii="Verdana" w:eastAsia="Times New Roman" w:hAnsi="Verdana" w:cs="Times New Roman"/>
          <w:color w:val="333333"/>
          <w:sz w:val="14"/>
          <w:szCs w:val="14"/>
        </w:rPr>
      </w:pPr>
      <w:r w:rsidRPr="00C67141">
        <w:rPr>
          <w:rFonts w:ascii="Verdana" w:eastAsia="Times New Roman" w:hAnsi="Verdana" w:cs="Times New Roman"/>
          <w:color w:val="333333"/>
          <w:sz w:val="14"/>
          <w:szCs w:val="14"/>
        </w:rPr>
        <w:t>Page 406</w:t>
      </w:r>
    </w:p>
    <w:p w:rsidR="00C67141" w:rsidRPr="00C67141" w:rsidRDefault="00C67141" w:rsidP="00C67141">
      <w:pPr>
        <w:spacing w:before="150" w:after="150" w:line="255" w:lineRule="atLeast"/>
        <w:divId w:val="1818257740"/>
        <w:rPr>
          <w:rFonts w:ascii="Helvetica" w:hAnsi="Helvetica" w:cs="Times New Roman"/>
          <w:color w:val="333333"/>
          <w:sz w:val="20"/>
          <w:szCs w:val="20"/>
        </w:rPr>
      </w:pPr>
      <w:r w:rsidRPr="00C67141">
        <w:rPr>
          <w:rFonts w:ascii="Helvetica" w:hAnsi="Helvetica" w:cs="Times New Roman"/>
          <w:color w:val="333333"/>
          <w:sz w:val="20"/>
          <w:szCs w:val="20"/>
        </w:rPr>
        <w:t>GE, for example, has strengthened its competitiveness by creating a profitable business with its “green” </w:t>
      </w:r>
      <w:proofErr w:type="spellStart"/>
      <w:r w:rsidRPr="00C67141">
        <w:rPr>
          <w:rFonts w:ascii="Helvetica" w:hAnsi="Helvetica" w:cs="Times New Roman"/>
          <w:i/>
          <w:iCs/>
          <w:color w:val="333333"/>
          <w:sz w:val="20"/>
          <w:szCs w:val="20"/>
        </w:rPr>
        <w:t>ecomagination</w:t>
      </w:r>
      <w:proofErr w:type="spellEnd"/>
      <w:r w:rsidRPr="00C67141">
        <w:rPr>
          <w:rFonts w:ascii="Helvetica" w:hAnsi="Helvetica" w:cs="Times New Roman"/>
          <w:color w:val="333333"/>
          <w:sz w:val="20"/>
          <w:szCs w:val="20"/>
        </w:rPr>
        <w:t> initiative. </w:t>
      </w:r>
      <w:proofErr w:type="spellStart"/>
      <w:r w:rsidRPr="00C67141">
        <w:rPr>
          <w:rFonts w:ascii="Helvetica" w:hAnsi="Helvetica" w:cs="Times New Roman"/>
          <w:i/>
          <w:iCs/>
          <w:color w:val="333333"/>
          <w:sz w:val="20"/>
          <w:szCs w:val="20"/>
        </w:rPr>
        <w:t>Ecomagination</w:t>
      </w:r>
      <w:proofErr w:type="spellEnd"/>
      <w:r w:rsidRPr="00C67141">
        <w:rPr>
          <w:rFonts w:ascii="Helvetica" w:hAnsi="Helvetica" w:cs="Times New Roman"/>
          <w:color w:val="333333"/>
          <w:sz w:val="20"/>
          <w:szCs w:val="20"/>
        </w:rPr>
        <w:t xml:space="preserve"> is GE’s strategic initiative to provide cleaner and more efficient sources of energy, provide abundant sources of clean water anywhere in the world, and reduce emissions.13 Jeffrey </w:t>
      </w:r>
      <w:proofErr w:type="spellStart"/>
      <w:r w:rsidRPr="00C67141">
        <w:rPr>
          <w:rFonts w:ascii="Helvetica" w:hAnsi="Helvetica" w:cs="Times New Roman"/>
          <w:color w:val="333333"/>
          <w:sz w:val="20"/>
          <w:szCs w:val="20"/>
        </w:rPr>
        <w:t>Immelt</w:t>
      </w:r>
      <w:proofErr w:type="spellEnd"/>
      <w:r w:rsidRPr="00C67141">
        <w:rPr>
          <w:rFonts w:ascii="Helvetica" w:hAnsi="Helvetica" w:cs="Times New Roman"/>
          <w:color w:val="333333"/>
          <w:sz w:val="20"/>
          <w:szCs w:val="20"/>
        </w:rPr>
        <w:t>, GE’s CEO, is fond of saying: “Green is green,”14 meaning that addressing ecological needs offers the potential of gaining and sustaining a competitive advantage for GE. Through applying strategic innovation, GE is providing solutions for some tough environmental challenges, while driving company growth at the same time. </w:t>
      </w:r>
      <w:proofErr w:type="spellStart"/>
      <w:r w:rsidRPr="00C67141">
        <w:rPr>
          <w:rFonts w:ascii="Helvetica" w:hAnsi="Helvetica" w:cs="Times New Roman"/>
          <w:i/>
          <w:iCs/>
          <w:color w:val="333333"/>
          <w:sz w:val="20"/>
          <w:szCs w:val="20"/>
        </w:rPr>
        <w:t>Ecomagination</w:t>
      </w:r>
      <w:proofErr w:type="spellEnd"/>
      <w:r w:rsidRPr="00C67141">
        <w:rPr>
          <w:rFonts w:ascii="Helvetica" w:hAnsi="Helvetica" w:cs="Times New Roman"/>
          <w:color w:val="333333"/>
          <w:sz w:val="20"/>
          <w:szCs w:val="20"/>
        </w:rPr>
        <w:t> solutions and products allow GE to increase the perceived value it creates for its customers while lowering costs to produce and deliver the “green” products and services. </w:t>
      </w:r>
      <w:proofErr w:type="spellStart"/>
      <w:r w:rsidRPr="00C67141">
        <w:rPr>
          <w:rFonts w:ascii="Helvetica" w:hAnsi="Helvetica" w:cs="Times New Roman"/>
          <w:i/>
          <w:iCs/>
          <w:color w:val="333333"/>
          <w:sz w:val="20"/>
          <w:szCs w:val="20"/>
        </w:rPr>
        <w:t>Ecomagination</w:t>
      </w:r>
      <w:proofErr w:type="spellEnd"/>
      <w:r w:rsidRPr="00C67141">
        <w:rPr>
          <w:rFonts w:ascii="Helvetica" w:hAnsi="Helvetica" w:cs="Times New Roman"/>
          <w:color w:val="333333"/>
          <w:sz w:val="20"/>
          <w:szCs w:val="20"/>
        </w:rPr>
        <w:t> allows GE to solve the trade-off between increasing value creation and lowering costs. This in turn enhances GE’s economic value creation and its competitive advantage. Moreover, </w:t>
      </w:r>
      <w:proofErr w:type="spellStart"/>
      <w:r w:rsidRPr="00C67141">
        <w:rPr>
          <w:rFonts w:ascii="Helvetica" w:hAnsi="Helvetica" w:cs="Times New Roman"/>
          <w:i/>
          <w:iCs/>
          <w:color w:val="333333"/>
          <w:sz w:val="20"/>
          <w:szCs w:val="20"/>
        </w:rPr>
        <w:t>ecomagination</w:t>
      </w:r>
      <w:proofErr w:type="spellEnd"/>
      <w:r w:rsidRPr="00C67141">
        <w:rPr>
          <w:rFonts w:ascii="Helvetica" w:hAnsi="Helvetica" w:cs="Times New Roman"/>
          <w:color w:val="333333"/>
          <w:sz w:val="20"/>
          <w:szCs w:val="20"/>
        </w:rPr>
        <w:t xml:space="preserve"> products and services also create value for society in terms of reducing </w:t>
      </w:r>
      <w:r w:rsidRPr="00C67141">
        <w:rPr>
          <w:rFonts w:ascii="Helvetica" w:hAnsi="Helvetica" w:cs="Times New Roman"/>
          <w:color w:val="333333"/>
          <w:sz w:val="20"/>
          <w:szCs w:val="20"/>
        </w:rPr>
        <w:lastRenderedPageBreak/>
        <w:t>emissions and lowering energy consumption, among other benefits. Since launched in 2005, GE has invested $15 billion in </w:t>
      </w:r>
      <w:proofErr w:type="spellStart"/>
      <w:r w:rsidRPr="00C67141">
        <w:rPr>
          <w:rFonts w:ascii="Helvetica" w:hAnsi="Helvetica" w:cs="Times New Roman"/>
          <w:i/>
          <w:iCs/>
          <w:color w:val="333333"/>
          <w:sz w:val="20"/>
          <w:szCs w:val="20"/>
        </w:rPr>
        <w:t>ecomagination</w:t>
      </w:r>
      <w:proofErr w:type="spellEnd"/>
      <w:r w:rsidRPr="00C67141">
        <w:rPr>
          <w:rFonts w:ascii="Helvetica" w:hAnsi="Helvetica" w:cs="Times New Roman"/>
          <w:color w:val="333333"/>
          <w:sz w:val="20"/>
          <w:szCs w:val="20"/>
        </w:rPr>
        <w:t> and reported in 2015 that revenues from this strategic initiative alone have reached $200 billion to date.</w:t>
      </w:r>
    </w:p>
    <w:p w:rsidR="00C67141" w:rsidRPr="00C67141" w:rsidRDefault="00C67141" w:rsidP="00C67141">
      <w:pPr>
        <w:spacing w:before="150" w:after="150" w:line="255" w:lineRule="atLeast"/>
        <w:divId w:val="1818257740"/>
        <w:rPr>
          <w:rFonts w:ascii="Helvetica" w:hAnsi="Helvetica" w:cs="Times New Roman"/>
          <w:color w:val="333333"/>
          <w:sz w:val="20"/>
          <w:szCs w:val="20"/>
        </w:rPr>
      </w:pPr>
      <w:r w:rsidRPr="00C67141">
        <w:rPr>
          <w:rFonts w:ascii="Helvetica" w:hAnsi="Helvetica" w:cs="Times New Roman"/>
          <w:color w:val="333333"/>
          <w:sz w:val="20"/>
          <w:szCs w:val="20"/>
        </w:rPr>
        <w:t>To ensure that managers can reconnect economic and societal needs, Michael Porter recommends that managers focus on three things within the shared value creation framework:15</w:t>
      </w:r>
    </w:p>
    <w:tbl>
      <w:tblPr>
        <w:tblW w:w="0" w:type="auto"/>
        <w:tblCellMar>
          <w:top w:w="15" w:type="dxa"/>
          <w:left w:w="15" w:type="dxa"/>
          <w:bottom w:w="15" w:type="dxa"/>
          <w:right w:w="15" w:type="dxa"/>
        </w:tblCellMar>
        <w:tblLook w:val="04A0" w:firstRow="1" w:lastRow="0" w:firstColumn="1" w:lastColumn="0" w:noHBand="0" w:noVBand="1"/>
      </w:tblPr>
      <w:tblGrid>
        <w:gridCol w:w="180"/>
        <w:gridCol w:w="9180"/>
      </w:tblGrid>
      <w:tr w:rsidR="00C67141" w:rsidRPr="00C67141">
        <w:trPr>
          <w:divId w:val="1818257740"/>
        </w:trPr>
        <w:tc>
          <w:tcPr>
            <w:tcW w:w="0" w:type="auto"/>
            <w:hideMark/>
          </w:tcPr>
          <w:p w:rsidR="00C67141" w:rsidRPr="00C67141" w:rsidRDefault="00C67141" w:rsidP="00C67141">
            <w:pPr>
              <w:spacing w:before="150" w:after="150" w:line="255" w:lineRule="atLeast"/>
              <w:jc w:val="right"/>
              <w:rPr>
                <w:rFonts w:ascii="Times New Roman" w:hAnsi="Times New Roman" w:cs="Times New Roman"/>
                <w:sz w:val="20"/>
                <w:szCs w:val="20"/>
              </w:rPr>
            </w:pPr>
            <w:r w:rsidRPr="00C67141">
              <w:rPr>
                <w:rFonts w:ascii="Times New Roman" w:hAnsi="Times New Roman" w:cs="Times New Roman"/>
                <w:sz w:val="20"/>
                <w:szCs w:val="20"/>
              </w:rPr>
              <w:t>1.</w:t>
            </w:r>
          </w:p>
        </w:tc>
        <w:tc>
          <w:tcPr>
            <w:tcW w:w="0" w:type="auto"/>
            <w:hideMark/>
          </w:tcPr>
          <w:p w:rsidR="00C67141" w:rsidRPr="00C67141" w:rsidRDefault="00C67141" w:rsidP="00C67141">
            <w:pPr>
              <w:spacing w:before="150" w:after="150" w:line="255" w:lineRule="atLeast"/>
              <w:rPr>
                <w:rFonts w:ascii="Times New Roman" w:hAnsi="Times New Roman" w:cs="Times New Roman"/>
                <w:sz w:val="20"/>
                <w:szCs w:val="20"/>
              </w:rPr>
            </w:pPr>
            <w:r w:rsidRPr="00C67141">
              <w:rPr>
                <w:rFonts w:ascii="Times New Roman" w:hAnsi="Times New Roman" w:cs="Times New Roman"/>
                <w:b/>
                <w:bCs/>
                <w:sz w:val="20"/>
                <w:szCs w:val="20"/>
              </w:rPr>
              <w:t>Expand the customer base to bring in</w:t>
            </w:r>
            <w:r w:rsidRPr="00C67141">
              <w:rPr>
                <w:rFonts w:ascii="Times New Roman" w:hAnsi="Times New Roman" w:cs="Times New Roman"/>
                <w:sz w:val="20"/>
                <w:szCs w:val="20"/>
              </w:rPr>
              <w:t> </w:t>
            </w:r>
            <w:proofErr w:type="spellStart"/>
            <w:r w:rsidRPr="00C67141">
              <w:rPr>
                <w:rFonts w:ascii="Times New Roman" w:hAnsi="Times New Roman" w:cs="Times New Roman"/>
                <w:b/>
                <w:bCs/>
                <w:i/>
                <w:iCs/>
                <w:sz w:val="20"/>
                <w:szCs w:val="20"/>
              </w:rPr>
              <w:t>nonconsumers</w:t>
            </w:r>
            <w:proofErr w:type="spellEnd"/>
            <w:r w:rsidRPr="00C67141">
              <w:rPr>
                <w:rFonts w:ascii="Times New Roman" w:hAnsi="Times New Roman" w:cs="Times New Roman"/>
                <w:sz w:val="20"/>
                <w:szCs w:val="20"/>
              </w:rPr>
              <w:t> such as those at the </w:t>
            </w:r>
            <w:r w:rsidRPr="00C67141">
              <w:rPr>
                <w:rFonts w:ascii="Times New Roman" w:hAnsi="Times New Roman" w:cs="Times New Roman"/>
                <w:i/>
                <w:iCs/>
                <w:sz w:val="20"/>
                <w:szCs w:val="20"/>
              </w:rPr>
              <w:t>bottom of the pyramid</w:t>
            </w:r>
            <w:r w:rsidRPr="00C67141">
              <w:rPr>
                <w:rFonts w:ascii="Times New Roman" w:hAnsi="Times New Roman" w:cs="Times New Roman"/>
                <w:sz w:val="20"/>
                <w:szCs w:val="20"/>
              </w:rPr>
              <w:t>—the largest but poorest socioeconomic group of the world’s population.</w:t>
            </w:r>
          </w:p>
          <w:p w:rsidR="00C67141" w:rsidRPr="00C67141" w:rsidRDefault="00C67141" w:rsidP="00C67141">
            <w:pPr>
              <w:spacing w:before="150" w:after="150" w:line="255" w:lineRule="atLeast"/>
              <w:rPr>
                <w:rFonts w:ascii="Times New Roman" w:hAnsi="Times New Roman" w:cs="Times New Roman"/>
                <w:sz w:val="20"/>
                <w:szCs w:val="20"/>
              </w:rPr>
            </w:pPr>
            <w:r w:rsidRPr="00C67141">
              <w:rPr>
                <w:rFonts w:ascii="Times New Roman" w:hAnsi="Times New Roman" w:cs="Times New Roman"/>
                <w:sz w:val="20"/>
                <w:szCs w:val="20"/>
              </w:rPr>
              <w:t>The bottom of the pyramid in the global economy can yield significant business opportunities, which—if satisfied—could improve the living standard of the world’s poorest. Muhammad Yunus, Nobel Peace Prize winner, founded Grameen Bank in Bangladesh to provide small loans (termed </w:t>
            </w:r>
            <w:r w:rsidRPr="00C67141">
              <w:rPr>
                <w:rFonts w:ascii="Times New Roman" w:hAnsi="Times New Roman" w:cs="Times New Roman"/>
                <w:i/>
                <w:iCs/>
                <w:sz w:val="20"/>
                <w:szCs w:val="20"/>
              </w:rPr>
              <w:t>microcredit)</w:t>
            </w:r>
            <w:r w:rsidRPr="00C67141">
              <w:rPr>
                <w:rFonts w:ascii="Times New Roman" w:hAnsi="Times New Roman" w:cs="Times New Roman"/>
                <w:sz w:val="20"/>
                <w:szCs w:val="20"/>
              </w:rPr>
              <w:t xml:space="preserve"> to impoverished villagers, who used the funding for entrepreneurial ventures that would help them climb out of poverty. Other businesses have also found profitable opportunities at the bottom of the pyramid. In India, </w:t>
            </w:r>
            <w:proofErr w:type="spellStart"/>
            <w:r w:rsidRPr="00C67141">
              <w:rPr>
                <w:rFonts w:ascii="Times New Roman" w:hAnsi="Times New Roman" w:cs="Times New Roman"/>
                <w:sz w:val="20"/>
                <w:szCs w:val="20"/>
              </w:rPr>
              <w:t>Arvind</w:t>
            </w:r>
            <w:proofErr w:type="spellEnd"/>
            <w:r w:rsidRPr="00C67141">
              <w:rPr>
                <w:rFonts w:ascii="Times New Roman" w:hAnsi="Times New Roman" w:cs="Times New Roman"/>
                <w:sz w:val="20"/>
                <w:szCs w:val="20"/>
              </w:rPr>
              <w:t xml:space="preserve"> Mills offers jeans in a ready-to-make kit that costs only a fraction of the high-end Levi’s. The Tata group sells its Nano car for around 150,000 rupees (less than $2,500), enabling more Indian families to move from mopeds to cars and adding up to a substantial business.</w:t>
            </w:r>
          </w:p>
        </w:tc>
      </w:tr>
      <w:tr w:rsidR="00C67141" w:rsidRPr="00C67141">
        <w:trPr>
          <w:divId w:val="1818257740"/>
        </w:trPr>
        <w:tc>
          <w:tcPr>
            <w:tcW w:w="0" w:type="auto"/>
            <w:hideMark/>
          </w:tcPr>
          <w:p w:rsidR="00C67141" w:rsidRPr="00C67141" w:rsidRDefault="00C67141" w:rsidP="00C67141">
            <w:pPr>
              <w:spacing w:before="150" w:after="150" w:line="255" w:lineRule="atLeast"/>
              <w:jc w:val="right"/>
              <w:rPr>
                <w:rFonts w:ascii="Times New Roman" w:hAnsi="Times New Roman" w:cs="Times New Roman"/>
                <w:sz w:val="20"/>
                <w:szCs w:val="20"/>
              </w:rPr>
            </w:pPr>
            <w:r w:rsidRPr="00C67141">
              <w:rPr>
                <w:rFonts w:ascii="Times New Roman" w:hAnsi="Times New Roman" w:cs="Times New Roman"/>
                <w:sz w:val="20"/>
                <w:szCs w:val="20"/>
              </w:rPr>
              <w:t>2.</w:t>
            </w:r>
          </w:p>
        </w:tc>
        <w:tc>
          <w:tcPr>
            <w:tcW w:w="0" w:type="auto"/>
            <w:hideMark/>
          </w:tcPr>
          <w:p w:rsidR="00C67141" w:rsidRPr="00C67141" w:rsidRDefault="00C67141" w:rsidP="00C67141">
            <w:pPr>
              <w:spacing w:before="150" w:after="150" w:line="255" w:lineRule="atLeast"/>
              <w:rPr>
                <w:rFonts w:ascii="Times New Roman" w:hAnsi="Times New Roman" w:cs="Times New Roman"/>
                <w:sz w:val="20"/>
                <w:szCs w:val="20"/>
              </w:rPr>
            </w:pPr>
            <w:r w:rsidRPr="00C67141">
              <w:rPr>
                <w:rFonts w:ascii="Times New Roman" w:hAnsi="Times New Roman" w:cs="Times New Roman"/>
                <w:b/>
                <w:bCs/>
                <w:sz w:val="20"/>
                <w:szCs w:val="20"/>
              </w:rPr>
              <w:t>Expand traditional internal firm value chains to include more nontraditional partners</w:t>
            </w:r>
            <w:r w:rsidRPr="00C67141">
              <w:rPr>
                <w:rFonts w:ascii="Times New Roman" w:hAnsi="Times New Roman" w:cs="Times New Roman"/>
                <w:sz w:val="20"/>
                <w:szCs w:val="20"/>
              </w:rPr>
              <w:t> such as </w:t>
            </w:r>
            <w:r w:rsidRPr="00C67141">
              <w:rPr>
                <w:rFonts w:ascii="Times New Roman" w:hAnsi="Times New Roman" w:cs="Times New Roman"/>
                <w:i/>
                <w:iCs/>
                <w:sz w:val="20"/>
                <w:szCs w:val="20"/>
              </w:rPr>
              <w:t>nongovernmental organizations</w:t>
            </w:r>
            <w:r w:rsidRPr="00C67141">
              <w:rPr>
                <w:rFonts w:ascii="Times New Roman" w:hAnsi="Times New Roman" w:cs="Times New Roman"/>
                <w:sz w:val="20"/>
                <w:szCs w:val="20"/>
              </w:rPr>
              <w:t>(NGOs).</w:t>
            </w:r>
          </w:p>
          <w:p w:rsidR="00C67141" w:rsidRPr="00C67141" w:rsidRDefault="00C67141" w:rsidP="00C67141">
            <w:pPr>
              <w:spacing w:before="150" w:after="150" w:line="255" w:lineRule="atLeast"/>
              <w:rPr>
                <w:rFonts w:ascii="Times New Roman" w:hAnsi="Times New Roman" w:cs="Times New Roman"/>
                <w:sz w:val="20"/>
                <w:szCs w:val="20"/>
              </w:rPr>
            </w:pPr>
            <w:r w:rsidRPr="00C67141">
              <w:rPr>
                <w:rFonts w:ascii="Times New Roman" w:hAnsi="Times New Roman" w:cs="Times New Roman"/>
                <w:sz w:val="20"/>
                <w:szCs w:val="20"/>
              </w:rPr>
              <w:t>NGOs are nonprofit organizations that pursue a particular cause in the public interest and are independent of any governments. Habitat for Humanity and Greenpeace are examples of NGOs.</w:t>
            </w:r>
          </w:p>
        </w:tc>
      </w:tr>
      <w:tr w:rsidR="00C67141" w:rsidRPr="00C67141">
        <w:trPr>
          <w:divId w:val="1818257740"/>
        </w:trPr>
        <w:tc>
          <w:tcPr>
            <w:tcW w:w="0" w:type="auto"/>
            <w:hideMark/>
          </w:tcPr>
          <w:p w:rsidR="00C67141" w:rsidRPr="00C67141" w:rsidRDefault="00C67141" w:rsidP="00C67141">
            <w:pPr>
              <w:spacing w:before="150" w:after="150" w:line="255" w:lineRule="atLeast"/>
              <w:jc w:val="right"/>
              <w:rPr>
                <w:rFonts w:ascii="Times New Roman" w:hAnsi="Times New Roman" w:cs="Times New Roman"/>
                <w:sz w:val="20"/>
                <w:szCs w:val="20"/>
              </w:rPr>
            </w:pPr>
            <w:r w:rsidRPr="00C67141">
              <w:rPr>
                <w:rFonts w:ascii="Times New Roman" w:hAnsi="Times New Roman" w:cs="Times New Roman"/>
                <w:sz w:val="20"/>
                <w:szCs w:val="20"/>
              </w:rPr>
              <w:t>3.</w:t>
            </w:r>
          </w:p>
        </w:tc>
        <w:tc>
          <w:tcPr>
            <w:tcW w:w="0" w:type="auto"/>
            <w:hideMark/>
          </w:tcPr>
          <w:p w:rsidR="00C67141" w:rsidRPr="00C67141" w:rsidRDefault="00C67141" w:rsidP="00C67141">
            <w:pPr>
              <w:spacing w:before="150" w:after="150" w:line="255" w:lineRule="atLeast"/>
              <w:rPr>
                <w:rFonts w:ascii="Times New Roman" w:hAnsi="Times New Roman" w:cs="Times New Roman"/>
                <w:sz w:val="20"/>
                <w:szCs w:val="20"/>
              </w:rPr>
            </w:pPr>
            <w:r w:rsidRPr="00C67141">
              <w:rPr>
                <w:rFonts w:ascii="Times New Roman" w:hAnsi="Times New Roman" w:cs="Times New Roman"/>
                <w:b/>
                <w:bCs/>
                <w:sz w:val="20"/>
                <w:szCs w:val="20"/>
              </w:rPr>
              <w:t>Focus on creating new</w:t>
            </w:r>
            <w:r w:rsidRPr="00C67141">
              <w:rPr>
                <w:rFonts w:ascii="Times New Roman" w:hAnsi="Times New Roman" w:cs="Times New Roman"/>
                <w:sz w:val="20"/>
                <w:szCs w:val="20"/>
              </w:rPr>
              <w:t> </w:t>
            </w:r>
            <w:r w:rsidRPr="00C67141">
              <w:rPr>
                <w:rFonts w:ascii="Times New Roman" w:hAnsi="Times New Roman" w:cs="Times New Roman"/>
                <w:b/>
                <w:bCs/>
                <w:i/>
                <w:iCs/>
                <w:sz w:val="20"/>
                <w:szCs w:val="20"/>
              </w:rPr>
              <w:t>regional clusters</w:t>
            </w:r>
            <w:r w:rsidRPr="00C67141">
              <w:rPr>
                <w:rFonts w:ascii="Times New Roman" w:hAnsi="Times New Roman" w:cs="Times New Roman"/>
                <w:sz w:val="20"/>
                <w:szCs w:val="20"/>
              </w:rPr>
              <w:t xml:space="preserve"> such as Silicon Valley in the United States, Electronic City in Bangalore, India, and </w:t>
            </w:r>
            <w:proofErr w:type="spellStart"/>
            <w:r w:rsidRPr="00C67141">
              <w:rPr>
                <w:rFonts w:ascii="Times New Roman" w:hAnsi="Times New Roman" w:cs="Times New Roman"/>
                <w:sz w:val="20"/>
                <w:szCs w:val="20"/>
              </w:rPr>
              <w:t>Chilecon</w:t>
            </w:r>
            <w:proofErr w:type="spellEnd"/>
            <w:r w:rsidRPr="00C67141">
              <w:rPr>
                <w:rFonts w:ascii="Times New Roman" w:hAnsi="Times New Roman" w:cs="Times New Roman"/>
                <w:sz w:val="20"/>
                <w:szCs w:val="20"/>
              </w:rPr>
              <w:t xml:space="preserve"> Valley in Santiago, Chile.</w:t>
            </w:r>
          </w:p>
        </w:tc>
      </w:tr>
    </w:tbl>
    <w:p w:rsidR="00C67141" w:rsidRPr="00C67141" w:rsidRDefault="00C67141" w:rsidP="00C67141">
      <w:pPr>
        <w:spacing w:before="150" w:after="150" w:line="255" w:lineRule="atLeast"/>
        <w:divId w:val="1818257740"/>
        <w:rPr>
          <w:rFonts w:ascii="Helvetica" w:hAnsi="Helvetica" w:cs="Times New Roman"/>
          <w:color w:val="333333"/>
          <w:sz w:val="20"/>
          <w:szCs w:val="20"/>
        </w:rPr>
      </w:pPr>
      <w:r w:rsidRPr="00C67141">
        <w:rPr>
          <w:rFonts w:ascii="Helvetica" w:hAnsi="Helvetica" w:cs="Times New Roman"/>
          <w:color w:val="333333"/>
          <w:sz w:val="20"/>
          <w:szCs w:val="20"/>
        </w:rPr>
        <w:t>In line with </w:t>
      </w:r>
      <w:r w:rsidRPr="00C67141">
        <w:rPr>
          <w:rFonts w:ascii="Helvetica" w:hAnsi="Helvetica" w:cs="Times New Roman"/>
          <w:i/>
          <w:iCs/>
          <w:color w:val="333333"/>
          <w:sz w:val="20"/>
          <w:szCs w:val="20"/>
        </w:rPr>
        <w:t>stakeholder theory</w:t>
      </w:r>
      <w:r w:rsidRPr="00C67141">
        <w:rPr>
          <w:rFonts w:ascii="Helvetica" w:hAnsi="Helvetica" w:cs="Times New Roman"/>
          <w:color w:val="333333"/>
          <w:sz w:val="20"/>
          <w:szCs w:val="20"/>
        </w:rPr>
        <w:t xml:space="preserve"> (discussed in Chapter 1), Porter argues that these strategic actions will lead to a larger pie of revenues and profits that can be distributed among a company’s stakeholders. General Electric, for example, recognizes a convergence between shareholders and stakeholders to create shared value. It states in its governance principles: “Both the board of directors and management recognize that the long-term interests of </w:t>
      </w:r>
      <w:proofErr w:type="spellStart"/>
      <w:r w:rsidRPr="00C67141">
        <w:rPr>
          <w:rFonts w:ascii="Helvetica" w:hAnsi="Helvetica" w:cs="Times New Roman"/>
          <w:color w:val="333333"/>
          <w:sz w:val="20"/>
          <w:szCs w:val="20"/>
        </w:rPr>
        <w:t>shareowners</w:t>
      </w:r>
      <w:proofErr w:type="spellEnd"/>
      <w:r w:rsidRPr="00C67141">
        <w:rPr>
          <w:rFonts w:ascii="Helvetica" w:hAnsi="Helvetica" w:cs="Times New Roman"/>
          <w:color w:val="333333"/>
          <w:sz w:val="20"/>
          <w:szCs w:val="20"/>
        </w:rPr>
        <w:t xml:space="preserve"> are advanced by responsibly addressing the concerns of other stakeholders and interested parties, including employees, recruits, customers, suppliers, GE communities, government officials, and the public at large.”16 To ensure that convergence indeed takes place, companies need effective governance mechanisms, which we discuss next.</w:t>
      </w:r>
    </w:p>
    <w:p w:rsidR="00B35B32" w:rsidRPr="00CE58C5" w:rsidRDefault="00B35B32" w:rsidP="00CE58C5">
      <w:pPr>
        <w:rPr>
          <w:rFonts w:ascii="Times New Roman" w:eastAsia="Times New Roman" w:hAnsi="Times New Roman" w:cs="Times New Roman"/>
          <w:sz w:val="24"/>
          <w:szCs w:val="24"/>
        </w:rPr>
      </w:pPr>
      <w:bookmarkStart w:id="0" w:name="_GoBack"/>
      <w:bookmarkEnd w:id="0"/>
    </w:p>
    <w:sectPr w:rsidR="00B35B32" w:rsidRPr="00CE58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4253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25DA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8C5"/>
    <w:rsid w:val="002F5EE5"/>
    <w:rsid w:val="006B4F6D"/>
    <w:rsid w:val="00B35B32"/>
    <w:rsid w:val="00C67141"/>
    <w:rsid w:val="00CE58C5"/>
    <w:rsid w:val="00D60E5E"/>
    <w:rsid w:val="00F30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F92A0C"/>
  <w15:chartTrackingRefBased/>
  <w15:docId w15:val="{862D0635-5E39-BF43-926D-8E9D8325A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B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35B3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35B3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B3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35B3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35B32"/>
    <w:rPr>
      <w:rFonts w:asciiTheme="majorHAnsi" w:eastAsiaTheme="majorEastAsia" w:hAnsiTheme="majorHAnsi" w:cstheme="majorBidi"/>
      <w:color w:val="1F3763" w:themeColor="accent1" w:themeShade="7F"/>
      <w:sz w:val="24"/>
      <w:szCs w:val="24"/>
    </w:rPr>
  </w:style>
  <w:style w:type="character" w:customStyle="1" w:styleId="cyan">
    <w:name w:val="cyan"/>
    <w:basedOn w:val="DefaultParagraphFont"/>
    <w:rsid w:val="00B35B32"/>
  </w:style>
  <w:style w:type="character" w:customStyle="1" w:styleId="apple-converted-space">
    <w:name w:val="apple-converted-space"/>
    <w:basedOn w:val="DefaultParagraphFont"/>
    <w:rsid w:val="00B35B32"/>
  </w:style>
  <w:style w:type="paragraph" w:styleId="NormalWeb">
    <w:name w:val="Normal (Web)"/>
    <w:basedOn w:val="Normal"/>
    <w:uiPriority w:val="99"/>
    <w:semiHidden/>
    <w:unhideWhenUsed/>
    <w:rsid w:val="00B35B32"/>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B35B32"/>
    <w:rPr>
      <w:b/>
      <w:bCs/>
    </w:rPr>
  </w:style>
  <w:style w:type="character" w:customStyle="1" w:styleId="ftnote">
    <w:name w:val="ftnote"/>
    <w:basedOn w:val="DefaultParagraphFont"/>
    <w:rsid w:val="00B35B32"/>
  </w:style>
  <w:style w:type="character" w:styleId="Emphasis">
    <w:name w:val="Emphasis"/>
    <w:basedOn w:val="DefaultParagraphFont"/>
    <w:uiPriority w:val="20"/>
    <w:qFormat/>
    <w:rsid w:val="00B35B32"/>
    <w:rPr>
      <w:i/>
      <w:iCs/>
    </w:rPr>
  </w:style>
  <w:style w:type="character" w:customStyle="1" w:styleId="sectitle">
    <w:name w:val="sectitle"/>
    <w:basedOn w:val="DefaultParagraphFont"/>
    <w:rsid w:val="00B35B32"/>
  </w:style>
  <w:style w:type="character" w:customStyle="1" w:styleId="dots">
    <w:name w:val="dots"/>
    <w:basedOn w:val="DefaultParagraphFont"/>
    <w:rsid w:val="00B35B32"/>
  </w:style>
  <w:style w:type="character" w:customStyle="1" w:styleId="fignum">
    <w:name w:val="fignum"/>
    <w:basedOn w:val="DefaultParagraphFont"/>
    <w:rsid w:val="00B35B32"/>
  </w:style>
  <w:style w:type="character" w:customStyle="1" w:styleId="title">
    <w:name w:val="title"/>
    <w:basedOn w:val="DefaultParagraphFont"/>
    <w:rsid w:val="00B35B32"/>
  </w:style>
  <w:style w:type="character" w:customStyle="1" w:styleId="real">
    <w:name w:val="real"/>
    <w:basedOn w:val="DefaultParagraphFont"/>
    <w:rsid w:val="00B35B32"/>
  </w:style>
  <w:style w:type="character" w:customStyle="1" w:styleId="subsectitle">
    <w:name w:val="subsectitle"/>
    <w:basedOn w:val="DefaultParagraphFont"/>
    <w:rsid w:val="00B35B32"/>
  </w:style>
  <w:style w:type="paragraph" w:customStyle="1" w:styleId="cheadspa">
    <w:name w:val="cheadspa"/>
    <w:basedOn w:val="Normal"/>
    <w:rsid w:val="00B35B32"/>
    <w:pPr>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semiHidden/>
    <w:unhideWhenUsed/>
    <w:rsid w:val="00C671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951825">
      <w:marLeft w:val="0"/>
      <w:marRight w:val="0"/>
      <w:marTop w:val="0"/>
      <w:marBottom w:val="0"/>
      <w:divBdr>
        <w:top w:val="none" w:sz="0" w:space="0" w:color="auto"/>
        <w:left w:val="none" w:sz="0" w:space="0" w:color="auto"/>
        <w:bottom w:val="none" w:sz="0" w:space="0" w:color="auto"/>
        <w:right w:val="none" w:sz="0" w:space="0" w:color="auto"/>
      </w:divBdr>
      <w:divsChild>
        <w:div w:id="1959675008">
          <w:marLeft w:val="0"/>
          <w:marRight w:val="0"/>
          <w:marTop w:val="0"/>
          <w:marBottom w:val="0"/>
          <w:divBdr>
            <w:top w:val="none" w:sz="0" w:space="0" w:color="auto"/>
            <w:left w:val="none" w:sz="0" w:space="0" w:color="auto"/>
            <w:bottom w:val="none" w:sz="0" w:space="0" w:color="auto"/>
            <w:right w:val="none" w:sz="0" w:space="0" w:color="auto"/>
          </w:divBdr>
        </w:div>
        <w:div w:id="2116710853">
          <w:marLeft w:val="0"/>
          <w:marRight w:val="0"/>
          <w:marTop w:val="0"/>
          <w:marBottom w:val="0"/>
          <w:divBdr>
            <w:top w:val="none" w:sz="0" w:space="0" w:color="auto"/>
            <w:left w:val="none" w:sz="0" w:space="0" w:color="auto"/>
            <w:bottom w:val="none" w:sz="0" w:space="0" w:color="auto"/>
            <w:right w:val="none" w:sz="0" w:space="0" w:color="auto"/>
          </w:divBdr>
          <w:divsChild>
            <w:div w:id="1320576898">
              <w:marLeft w:val="0"/>
              <w:marRight w:val="0"/>
              <w:marTop w:val="0"/>
              <w:marBottom w:val="0"/>
              <w:divBdr>
                <w:top w:val="none" w:sz="0" w:space="0" w:color="auto"/>
                <w:left w:val="none" w:sz="0" w:space="0" w:color="auto"/>
                <w:bottom w:val="none" w:sz="0" w:space="0" w:color="auto"/>
                <w:right w:val="none" w:sz="0" w:space="0" w:color="auto"/>
              </w:divBdr>
              <w:divsChild>
                <w:div w:id="4745993">
                  <w:marLeft w:val="0"/>
                  <w:marRight w:val="0"/>
                  <w:marTop w:val="0"/>
                  <w:marBottom w:val="0"/>
                  <w:divBdr>
                    <w:top w:val="dotted" w:sz="6" w:space="0" w:color="808080"/>
                    <w:left w:val="none" w:sz="0" w:space="0" w:color="auto"/>
                    <w:bottom w:val="dotted" w:sz="6" w:space="0" w:color="808080"/>
                    <w:right w:val="none" w:sz="0" w:space="0" w:color="auto"/>
                  </w:divBdr>
                </w:div>
              </w:divsChild>
            </w:div>
          </w:divsChild>
        </w:div>
        <w:div w:id="2080517128">
          <w:marLeft w:val="0"/>
          <w:marRight w:val="0"/>
          <w:marTop w:val="0"/>
          <w:marBottom w:val="0"/>
          <w:divBdr>
            <w:top w:val="none" w:sz="0" w:space="0" w:color="auto"/>
            <w:left w:val="none" w:sz="0" w:space="0" w:color="auto"/>
            <w:bottom w:val="none" w:sz="0" w:space="0" w:color="auto"/>
            <w:right w:val="none" w:sz="0" w:space="0" w:color="auto"/>
          </w:divBdr>
          <w:divsChild>
            <w:div w:id="1132359109">
              <w:marLeft w:val="7200"/>
              <w:marRight w:val="0"/>
              <w:marTop w:val="45"/>
              <w:marBottom w:val="0"/>
              <w:divBdr>
                <w:top w:val="none" w:sz="0" w:space="0" w:color="auto"/>
                <w:left w:val="none" w:sz="0" w:space="0" w:color="auto"/>
                <w:bottom w:val="none" w:sz="0" w:space="0" w:color="auto"/>
                <w:right w:val="none" w:sz="0" w:space="0" w:color="auto"/>
              </w:divBdr>
              <w:divsChild>
                <w:div w:id="753091013">
                  <w:marLeft w:val="0"/>
                  <w:marRight w:val="0"/>
                  <w:marTop w:val="90"/>
                  <w:marBottom w:val="0"/>
                  <w:divBdr>
                    <w:top w:val="none" w:sz="0" w:space="0" w:color="auto"/>
                    <w:left w:val="none" w:sz="0" w:space="0" w:color="auto"/>
                    <w:bottom w:val="none" w:sz="0" w:space="0" w:color="auto"/>
                    <w:right w:val="none" w:sz="0" w:space="0" w:color="auto"/>
                  </w:divBdr>
                </w:div>
              </w:divsChild>
            </w:div>
            <w:div w:id="593242512">
              <w:marLeft w:val="0"/>
              <w:marRight w:val="0"/>
              <w:marTop w:val="0"/>
              <w:marBottom w:val="0"/>
              <w:divBdr>
                <w:top w:val="none" w:sz="0" w:space="0" w:color="auto"/>
                <w:left w:val="none" w:sz="0" w:space="0" w:color="auto"/>
                <w:bottom w:val="none" w:sz="0" w:space="0" w:color="auto"/>
                <w:right w:val="none" w:sz="0" w:space="0" w:color="auto"/>
              </w:divBdr>
              <w:divsChild>
                <w:div w:id="613831003">
                  <w:marLeft w:val="0"/>
                  <w:marRight w:val="0"/>
                  <w:marTop w:val="0"/>
                  <w:marBottom w:val="0"/>
                  <w:divBdr>
                    <w:top w:val="dotted" w:sz="6" w:space="0" w:color="808080"/>
                    <w:left w:val="none" w:sz="0" w:space="0" w:color="auto"/>
                    <w:bottom w:val="dotted" w:sz="6" w:space="0" w:color="808080"/>
                    <w:right w:val="none" w:sz="0" w:space="0" w:color="auto"/>
                  </w:divBdr>
                </w:div>
              </w:divsChild>
            </w:div>
            <w:div w:id="1793665811">
              <w:marLeft w:val="0"/>
              <w:marRight w:val="0"/>
              <w:marTop w:val="300"/>
              <w:marBottom w:val="300"/>
              <w:divBdr>
                <w:top w:val="none" w:sz="0" w:space="0" w:color="auto"/>
                <w:left w:val="none" w:sz="0" w:space="0" w:color="auto"/>
                <w:bottom w:val="none" w:sz="0" w:space="0" w:color="auto"/>
                <w:right w:val="none" w:sz="0" w:space="0" w:color="auto"/>
              </w:divBdr>
              <w:divsChild>
                <w:div w:id="166990805">
                  <w:marLeft w:val="0"/>
                  <w:marRight w:val="0"/>
                  <w:marTop w:val="0"/>
                  <w:marBottom w:val="0"/>
                  <w:divBdr>
                    <w:top w:val="none" w:sz="0" w:space="0" w:color="auto"/>
                    <w:left w:val="none" w:sz="0" w:space="0" w:color="auto"/>
                    <w:bottom w:val="none" w:sz="0" w:space="0" w:color="auto"/>
                    <w:right w:val="none" w:sz="0" w:space="0" w:color="auto"/>
                  </w:divBdr>
                </w:div>
              </w:divsChild>
            </w:div>
            <w:div w:id="503788427">
              <w:marLeft w:val="0"/>
              <w:marRight w:val="0"/>
              <w:marTop w:val="180"/>
              <w:marBottom w:val="180"/>
              <w:divBdr>
                <w:top w:val="none" w:sz="0" w:space="0" w:color="auto"/>
                <w:left w:val="none" w:sz="0" w:space="0" w:color="auto"/>
                <w:bottom w:val="none" w:sz="0" w:space="0" w:color="auto"/>
                <w:right w:val="none" w:sz="0" w:space="0" w:color="auto"/>
              </w:divBdr>
              <w:divsChild>
                <w:div w:id="1596863889">
                  <w:marLeft w:val="0"/>
                  <w:marRight w:val="0"/>
                  <w:marTop w:val="0"/>
                  <w:marBottom w:val="0"/>
                  <w:divBdr>
                    <w:top w:val="none" w:sz="0" w:space="0" w:color="auto"/>
                    <w:left w:val="none" w:sz="0" w:space="0" w:color="auto"/>
                    <w:bottom w:val="none" w:sz="0" w:space="0" w:color="auto"/>
                    <w:right w:val="none" w:sz="0" w:space="0" w:color="auto"/>
                  </w:divBdr>
                </w:div>
              </w:divsChild>
            </w:div>
            <w:div w:id="1906261001">
              <w:marLeft w:val="0"/>
              <w:marRight w:val="0"/>
              <w:marTop w:val="0"/>
              <w:marBottom w:val="0"/>
              <w:divBdr>
                <w:top w:val="none" w:sz="0" w:space="0" w:color="auto"/>
                <w:left w:val="none" w:sz="0" w:space="0" w:color="auto"/>
                <w:bottom w:val="none" w:sz="0" w:space="0" w:color="auto"/>
                <w:right w:val="none" w:sz="0" w:space="0" w:color="auto"/>
              </w:divBdr>
              <w:divsChild>
                <w:div w:id="1760591343">
                  <w:marLeft w:val="0"/>
                  <w:marRight w:val="0"/>
                  <w:marTop w:val="0"/>
                  <w:marBottom w:val="0"/>
                  <w:divBdr>
                    <w:top w:val="dotted" w:sz="6" w:space="0" w:color="808080"/>
                    <w:left w:val="none" w:sz="0" w:space="0" w:color="auto"/>
                    <w:bottom w:val="dotted" w:sz="6" w:space="0" w:color="808080"/>
                    <w:right w:val="none" w:sz="0" w:space="0" w:color="auto"/>
                  </w:divBdr>
                </w:div>
              </w:divsChild>
            </w:div>
            <w:div w:id="1991859264">
              <w:marLeft w:val="0"/>
              <w:marRight w:val="0"/>
              <w:marTop w:val="120"/>
              <w:marBottom w:val="120"/>
              <w:divBdr>
                <w:top w:val="none" w:sz="0" w:space="0" w:color="auto"/>
                <w:left w:val="none" w:sz="0" w:space="0" w:color="auto"/>
                <w:bottom w:val="none" w:sz="0" w:space="0" w:color="auto"/>
                <w:right w:val="none" w:sz="0" w:space="0" w:color="auto"/>
              </w:divBdr>
              <w:divsChild>
                <w:div w:id="1239633528">
                  <w:marLeft w:val="0"/>
                  <w:marRight w:val="0"/>
                  <w:marTop w:val="0"/>
                  <w:marBottom w:val="0"/>
                  <w:divBdr>
                    <w:top w:val="none" w:sz="0" w:space="0" w:color="auto"/>
                    <w:left w:val="none" w:sz="0" w:space="0" w:color="auto"/>
                    <w:bottom w:val="none" w:sz="0" w:space="0" w:color="auto"/>
                    <w:right w:val="none" w:sz="0" w:space="0" w:color="auto"/>
                  </w:divBdr>
                </w:div>
              </w:divsChild>
            </w:div>
            <w:div w:id="1116635128">
              <w:marLeft w:val="0"/>
              <w:marRight w:val="0"/>
              <w:marTop w:val="0"/>
              <w:marBottom w:val="0"/>
              <w:divBdr>
                <w:top w:val="none" w:sz="0" w:space="0" w:color="auto"/>
                <w:left w:val="none" w:sz="0" w:space="0" w:color="auto"/>
                <w:bottom w:val="none" w:sz="0" w:space="0" w:color="auto"/>
                <w:right w:val="none" w:sz="0" w:space="0" w:color="auto"/>
              </w:divBdr>
              <w:divsChild>
                <w:div w:id="447630933">
                  <w:marLeft w:val="0"/>
                  <w:marRight w:val="0"/>
                  <w:marTop w:val="0"/>
                  <w:marBottom w:val="0"/>
                  <w:divBdr>
                    <w:top w:val="dotted" w:sz="6" w:space="0" w:color="808080"/>
                    <w:left w:val="none" w:sz="0" w:space="0" w:color="auto"/>
                    <w:bottom w:val="dotted" w:sz="6" w:space="0" w:color="808080"/>
                    <w:right w:val="none" w:sz="0" w:space="0" w:color="auto"/>
                  </w:divBdr>
                </w:div>
              </w:divsChild>
            </w:div>
          </w:divsChild>
        </w:div>
        <w:div w:id="101727117">
          <w:marLeft w:val="0"/>
          <w:marRight w:val="0"/>
          <w:marTop w:val="0"/>
          <w:marBottom w:val="0"/>
          <w:divBdr>
            <w:top w:val="none" w:sz="0" w:space="0" w:color="auto"/>
            <w:left w:val="none" w:sz="0" w:space="0" w:color="auto"/>
            <w:bottom w:val="none" w:sz="0" w:space="0" w:color="auto"/>
            <w:right w:val="none" w:sz="0" w:space="0" w:color="auto"/>
          </w:divBdr>
          <w:divsChild>
            <w:div w:id="308246803">
              <w:marLeft w:val="7200"/>
              <w:marRight w:val="0"/>
              <w:marTop w:val="45"/>
              <w:marBottom w:val="0"/>
              <w:divBdr>
                <w:top w:val="none" w:sz="0" w:space="0" w:color="auto"/>
                <w:left w:val="none" w:sz="0" w:space="0" w:color="auto"/>
                <w:bottom w:val="none" w:sz="0" w:space="0" w:color="auto"/>
                <w:right w:val="none" w:sz="0" w:space="0" w:color="auto"/>
              </w:divBdr>
              <w:divsChild>
                <w:div w:id="1173910093">
                  <w:marLeft w:val="0"/>
                  <w:marRight w:val="0"/>
                  <w:marTop w:val="90"/>
                  <w:marBottom w:val="0"/>
                  <w:divBdr>
                    <w:top w:val="none" w:sz="0" w:space="0" w:color="auto"/>
                    <w:left w:val="none" w:sz="0" w:space="0" w:color="auto"/>
                    <w:bottom w:val="none" w:sz="0" w:space="0" w:color="auto"/>
                    <w:right w:val="none" w:sz="0" w:space="0" w:color="auto"/>
                  </w:divBdr>
                </w:div>
              </w:divsChild>
            </w:div>
            <w:div w:id="1030378444">
              <w:marLeft w:val="0"/>
              <w:marRight w:val="0"/>
              <w:marTop w:val="0"/>
              <w:marBottom w:val="0"/>
              <w:divBdr>
                <w:top w:val="none" w:sz="0" w:space="0" w:color="auto"/>
                <w:left w:val="none" w:sz="0" w:space="0" w:color="auto"/>
                <w:bottom w:val="none" w:sz="0" w:space="0" w:color="auto"/>
                <w:right w:val="none" w:sz="0" w:space="0" w:color="auto"/>
              </w:divBdr>
              <w:divsChild>
                <w:div w:id="788813905">
                  <w:marLeft w:val="0"/>
                  <w:marRight w:val="0"/>
                  <w:marTop w:val="120"/>
                  <w:marBottom w:val="120"/>
                  <w:divBdr>
                    <w:top w:val="none" w:sz="0" w:space="0" w:color="auto"/>
                    <w:left w:val="none" w:sz="0" w:space="0" w:color="auto"/>
                    <w:bottom w:val="none" w:sz="0" w:space="0" w:color="auto"/>
                    <w:right w:val="none" w:sz="0" w:space="0" w:color="auto"/>
                  </w:divBdr>
                </w:div>
              </w:divsChild>
            </w:div>
            <w:div w:id="983269224">
              <w:marLeft w:val="0"/>
              <w:marRight w:val="0"/>
              <w:marTop w:val="0"/>
              <w:marBottom w:val="0"/>
              <w:divBdr>
                <w:top w:val="none" w:sz="0" w:space="0" w:color="auto"/>
                <w:left w:val="none" w:sz="0" w:space="0" w:color="auto"/>
                <w:bottom w:val="none" w:sz="0" w:space="0" w:color="auto"/>
                <w:right w:val="none" w:sz="0" w:space="0" w:color="auto"/>
              </w:divBdr>
              <w:divsChild>
                <w:div w:id="1506702479">
                  <w:marLeft w:val="0"/>
                  <w:marRight w:val="0"/>
                  <w:marTop w:val="120"/>
                  <w:marBottom w:val="120"/>
                  <w:divBdr>
                    <w:top w:val="none" w:sz="0" w:space="0" w:color="auto"/>
                    <w:left w:val="none" w:sz="0" w:space="0" w:color="auto"/>
                    <w:bottom w:val="none" w:sz="0" w:space="0" w:color="auto"/>
                    <w:right w:val="none" w:sz="0" w:space="0" w:color="auto"/>
                  </w:divBdr>
                </w:div>
              </w:divsChild>
            </w:div>
            <w:div w:id="182208898">
              <w:marLeft w:val="0"/>
              <w:marRight w:val="0"/>
              <w:marTop w:val="0"/>
              <w:marBottom w:val="0"/>
              <w:divBdr>
                <w:top w:val="none" w:sz="0" w:space="0" w:color="auto"/>
                <w:left w:val="none" w:sz="0" w:space="0" w:color="auto"/>
                <w:bottom w:val="none" w:sz="0" w:space="0" w:color="auto"/>
                <w:right w:val="none" w:sz="0" w:space="0" w:color="auto"/>
              </w:divBdr>
              <w:divsChild>
                <w:div w:id="2141799835">
                  <w:marLeft w:val="0"/>
                  <w:marRight w:val="0"/>
                  <w:marTop w:val="0"/>
                  <w:marBottom w:val="0"/>
                  <w:divBdr>
                    <w:top w:val="none" w:sz="0" w:space="0" w:color="auto"/>
                    <w:left w:val="none" w:sz="0" w:space="0" w:color="auto"/>
                    <w:bottom w:val="none" w:sz="0" w:space="0" w:color="auto"/>
                    <w:right w:val="none" w:sz="0" w:space="0" w:color="auto"/>
                  </w:divBdr>
                  <w:divsChild>
                    <w:div w:id="1496259956">
                      <w:marLeft w:val="0"/>
                      <w:marRight w:val="0"/>
                      <w:marTop w:val="0"/>
                      <w:marBottom w:val="0"/>
                      <w:divBdr>
                        <w:top w:val="dotted" w:sz="6" w:space="0" w:color="808080"/>
                        <w:left w:val="none" w:sz="0" w:space="0" w:color="auto"/>
                        <w:bottom w:val="dotted" w:sz="6" w:space="0" w:color="808080"/>
                        <w:right w:val="none" w:sz="0" w:space="0" w:color="auto"/>
                      </w:divBdr>
                    </w:div>
                  </w:divsChild>
                </w:div>
                <w:div w:id="1881549610">
                  <w:marLeft w:val="0"/>
                  <w:marRight w:val="0"/>
                  <w:marTop w:val="120"/>
                  <w:marBottom w:val="120"/>
                  <w:divBdr>
                    <w:top w:val="none" w:sz="0" w:space="0" w:color="auto"/>
                    <w:left w:val="none" w:sz="0" w:space="0" w:color="auto"/>
                    <w:bottom w:val="none" w:sz="0" w:space="0" w:color="auto"/>
                    <w:right w:val="none" w:sz="0" w:space="0" w:color="auto"/>
                  </w:divBdr>
                </w:div>
              </w:divsChild>
            </w:div>
            <w:div w:id="928124842">
              <w:marLeft w:val="0"/>
              <w:marRight w:val="0"/>
              <w:marTop w:val="0"/>
              <w:marBottom w:val="0"/>
              <w:divBdr>
                <w:top w:val="none" w:sz="0" w:space="0" w:color="auto"/>
                <w:left w:val="none" w:sz="0" w:space="0" w:color="auto"/>
                <w:bottom w:val="none" w:sz="0" w:space="0" w:color="auto"/>
                <w:right w:val="none" w:sz="0" w:space="0" w:color="auto"/>
              </w:divBdr>
              <w:divsChild>
                <w:div w:id="80473542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607227305">
          <w:marLeft w:val="0"/>
          <w:marRight w:val="0"/>
          <w:marTop w:val="0"/>
          <w:marBottom w:val="0"/>
          <w:divBdr>
            <w:top w:val="none" w:sz="0" w:space="0" w:color="auto"/>
            <w:left w:val="none" w:sz="0" w:space="0" w:color="auto"/>
            <w:bottom w:val="none" w:sz="0" w:space="0" w:color="auto"/>
            <w:right w:val="none" w:sz="0" w:space="0" w:color="auto"/>
          </w:divBdr>
          <w:divsChild>
            <w:div w:id="346030286">
              <w:marLeft w:val="7200"/>
              <w:marRight w:val="0"/>
              <w:marTop w:val="45"/>
              <w:marBottom w:val="0"/>
              <w:divBdr>
                <w:top w:val="none" w:sz="0" w:space="0" w:color="auto"/>
                <w:left w:val="none" w:sz="0" w:space="0" w:color="auto"/>
                <w:bottom w:val="none" w:sz="0" w:space="0" w:color="auto"/>
                <w:right w:val="none" w:sz="0" w:space="0" w:color="auto"/>
              </w:divBdr>
              <w:divsChild>
                <w:div w:id="846289600">
                  <w:marLeft w:val="0"/>
                  <w:marRight w:val="0"/>
                  <w:marTop w:val="90"/>
                  <w:marBottom w:val="0"/>
                  <w:divBdr>
                    <w:top w:val="none" w:sz="0" w:space="0" w:color="auto"/>
                    <w:left w:val="none" w:sz="0" w:space="0" w:color="auto"/>
                    <w:bottom w:val="none" w:sz="0" w:space="0" w:color="auto"/>
                    <w:right w:val="none" w:sz="0" w:space="0" w:color="auto"/>
                  </w:divBdr>
                </w:div>
              </w:divsChild>
            </w:div>
            <w:div w:id="1722241007">
              <w:marLeft w:val="0"/>
              <w:marRight w:val="0"/>
              <w:marTop w:val="0"/>
              <w:marBottom w:val="0"/>
              <w:divBdr>
                <w:top w:val="none" w:sz="0" w:space="0" w:color="auto"/>
                <w:left w:val="none" w:sz="0" w:space="0" w:color="auto"/>
                <w:bottom w:val="none" w:sz="0" w:space="0" w:color="auto"/>
                <w:right w:val="none" w:sz="0" w:space="0" w:color="auto"/>
              </w:divBdr>
              <w:divsChild>
                <w:div w:id="1990211514">
                  <w:marLeft w:val="0"/>
                  <w:marRight w:val="0"/>
                  <w:marTop w:val="120"/>
                  <w:marBottom w:val="120"/>
                  <w:divBdr>
                    <w:top w:val="none" w:sz="0" w:space="0" w:color="auto"/>
                    <w:left w:val="none" w:sz="0" w:space="0" w:color="auto"/>
                    <w:bottom w:val="none" w:sz="0" w:space="0" w:color="auto"/>
                    <w:right w:val="none" w:sz="0" w:space="0" w:color="auto"/>
                  </w:divBdr>
                </w:div>
              </w:divsChild>
            </w:div>
            <w:div w:id="718283801">
              <w:marLeft w:val="0"/>
              <w:marRight w:val="0"/>
              <w:marTop w:val="0"/>
              <w:marBottom w:val="0"/>
              <w:divBdr>
                <w:top w:val="none" w:sz="0" w:space="0" w:color="auto"/>
                <w:left w:val="none" w:sz="0" w:space="0" w:color="auto"/>
                <w:bottom w:val="none" w:sz="0" w:space="0" w:color="auto"/>
                <w:right w:val="none" w:sz="0" w:space="0" w:color="auto"/>
              </w:divBdr>
              <w:divsChild>
                <w:div w:id="1991136205">
                  <w:marLeft w:val="0"/>
                  <w:marRight w:val="0"/>
                  <w:marTop w:val="0"/>
                  <w:marBottom w:val="0"/>
                  <w:divBdr>
                    <w:top w:val="none" w:sz="0" w:space="0" w:color="auto"/>
                    <w:left w:val="none" w:sz="0" w:space="0" w:color="auto"/>
                    <w:bottom w:val="none" w:sz="0" w:space="0" w:color="auto"/>
                    <w:right w:val="none" w:sz="0" w:space="0" w:color="auto"/>
                  </w:divBdr>
                  <w:divsChild>
                    <w:div w:id="793132386">
                      <w:marLeft w:val="0"/>
                      <w:marRight w:val="0"/>
                      <w:marTop w:val="0"/>
                      <w:marBottom w:val="0"/>
                      <w:divBdr>
                        <w:top w:val="dotted" w:sz="6" w:space="0" w:color="808080"/>
                        <w:left w:val="none" w:sz="0" w:space="0" w:color="auto"/>
                        <w:bottom w:val="dotted" w:sz="6" w:space="0" w:color="808080"/>
                        <w:right w:val="none" w:sz="0" w:space="0" w:color="auto"/>
                      </w:divBdr>
                    </w:div>
                  </w:divsChild>
                </w:div>
                <w:div w:id="228536683">
                  <w:marLeft w:val="0"/>
                  <w:marRight w:val="0"/>
                  <w:marTop w:val="120"/>
                  <w:marBottom w:val="120"/>
                  <w:divBdr>
                    <w:top w:val="none" w:sz="0" w:space="0" w:color="auto"/>
                    <w:left w:val="none" w:sz="0" w:space="0" w:color="auto"/>
                    <w:bottom w:val="none" w:sz="0" w:space="0" w:color="auto"/>
                    <w:right w:val="none" w:sz="0" w:space="0" w:color="auto"/>
                  </w:divBdr>
                </w:div>
                <w:div w:id="160967723">
                  <w:marLeft w:val="0"/>
                  <w:marRight w:val="0"/>
                  <w:marTop w:val="180"/>
                  <w:marBottom w:val="180"/>
                  <w:divBdr>
                    <w:top w:val="none" w:sz="0" w:space="0" w:color="auto"/>
                    <w:left w:val="none" w:sz="0" w:space="0" w:color="auto"/>
                    <w:bottom w:val="none" w:sz="0" w:space="0" w:color="auto"/>
                    <w:right w:val="none" w:sz="0" w:space="0" w:color="auto"/>
                  </w:divBdr>
                  <w:divsChild>
                    <w:div w:id="1219249297">
                      <w:marLeft w:val="0"/>
                      <w:marRight w:val="0"/>
                      <w:marTop w:val="0"/>
                      <w:marBottom w:val="0"/>
                      <w:divBdr>
                        <w:top w:val="none" w:sz="0" w:space="0" w:color="auto"/>
                        <w:left w:val="none" w:sz="0" w:space="0" w:color="auto"/>
                        <w:bottom w:val="none" w:sz="0" w:space="0" w:color="auto"/>
                        <w:right w:val="none" w:sz="0" w:space="0" w:color="auto"/>
                      </w:divBdr>
                    </w:div>
                  </w:divsChild>
                </w:div>
                <w:div w:id="119227818">
                  <w:marLeft w:val="0"/>
                  <w:marRight w:val="0"/>
                  <w:marTop w:val="120"/>
                  <w:marBottom w:val="120"/>
                  <w:divBdr>
                    <w:top w:val="none" w:sz="0" w:space="0" w:color="auto"/>
                    <w:left w:val="none" w:sz="0" w:space="0" w:color="auto"/>
                    <w:bottom w:val="none" w:sz="0" w:space="0" w:color="auto"/>
                    <w:right w:val="none" w:sz="0" w:space="0" w:color="auto"/>
                  </w:divBdr>
                  <w:divsChild>
                    <w:div w:id="1838112854">
                      <w:marLeft w:val="0"/>
                      <w:marRight w:val="0"/>
                      <w:marTop w:val="0"/>
                      <w:marBottom w:val="0"/>
                      <w:divBdr>
                        <w:top w:val="none" w:sz="0" w:space="0" w:color="auto"/>
                        <w:left w:val="none" w:sz="0" w:space="0" w:color="auto"/>
                        <w:bottom w:val="none" w:sz="0" w:space="0" w:color="auto"/>
                        <w:right w:val="none" w:sz="0" w:space="0" w:color="auto"/>
                      </w:divBdr>
                      <w:divsChild>
                        <w:div w:id="1939830158">
                          <w:marLeft w:val="0"/>
                          <w:marRight w:val="0"/>
                          <w:marTop w:val="0"/>
                          <w:marBottom w:val="0"/>
                          <w:divBdr>
                            <w:top w:val="dotted" w:sz="6" w:space="0" w:color="808080"/>
                            <w:left w:val="none" w:sz="0" w:space="0" w:color="auto"/>
                            <w:bottom w:val="dotted" w:sz="6" w:space="0" w:color="808080"/>
                            <w:right w:val="none" w:sz="0" w:space="0" w:color="auto"/>
                          </w:divBdr>
                        </w:div>
                      </w:divsChild>
                    </w:div>
                    <w:div w:id="179748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438127">
      <w:marLeft w:val="0"/>
      <w:marRight w:val="0"/>
      <w:marTop w:val="0"/>
      <w:marBottom w:val="0"/>
      <w:divBdr>
        <w:top w:val="none" w:sz="0" w:space="0" w:color="auto"/>
        <w:left w:val="none" w:sz="0" w:space="0" w:color="auto"/>
        <w:bottom w:val="none" w:sz="0" w:space="0" w:color="auto"/>
        <w:right w:val="none" w:sz="0" w:space="0" w:color="auto"/>
      </w:divBdr>
      <w:divsChild>
        <w:div w:id="1650285824">
          <w:marLeft w:val="0"/>
          <w:marRight w:val="0"/>
          <w:marTop w:val="0"/>
          <w:marBottom w:val="0"/>
          <w:divBdr>
            <w:top w:val="none" w:sz="0" w:space="0" w:color="auto"/>
            <w:left w:val="none" w:sz="0" w:space="0" w:color="auto"/>
            <w:bottom w:val="none" w:sz="0" w:space="0" w:color="auto"/>
            <w:right w:val="none" w:sz="0" w:space="0" w:color="auto"/>
          </w:divBdr>
        </w:div>
        <w:div w:id="1626885148">
          <w:marLeft w:val="0"/>
          <w:marRight w:val="0"/>
          <w:marTop w:val="0"/>
          <w:marBottom w:val="0"/>
          <w:divBdr>
            <w:top w:val="none" w:sz="0" w:space="0" w:color="auto"/>
            <w:left w:val="none" w:sz="0" w:space="0" w:color="auto"/>
            <w:bottom w:val="none" w:sz="0" w:space="0" w:color="auto"/>
            <w:right w:val="none" w:sz="0" w:space="0" w:color="auto"/>
          </w:divBdr>
        </w:div>
        <w:div w:id="1193573835">
          <w:marLeft w:val="0"/>
          <w:marRight w:val="0"/>
          <w:marTop w:val="0"/>
          <w:marBottom w:val="0"/>
          <w:divBdr>
            <w:top w:val="none" w:sz="0" w:space="0" w:color="auto"/>
            <w:left w:val="none" w:sz="0" w:space="0" w:color="auto"/>
            <w:bottom w:val="none" w:sz="0" w:space="0" w:color="auto"/>
            <w:right w:val="none" w:sz="0" w:space="0" w:color="auto"/>
          </w:divBdr>
          <w:divsChild>
            <w:div w:id="1835949594">
              <w:marLeft w:val="0"/>
              <w:marRight w:val="0"/>
              <w:marTop w:val="300"/>
              <w:marBottom w:val="300"/>
              <w:divBdr>
                <w:top w:val="none" w:sz="0" w:space="0" w:color="auto"/>
                <w:left w:val="none" w:sz="0" w:space="0" w:color="auto"/>
                <w:bottom w:val="none" w:sz="0" w:space="0" w:color="auto"/>
                <w:right w:val="none" w:sz="0" w:space="0" w:color="auto"/>
              </w:divBdr>
              <w:divsChild>
                <w:div w:id="2035614957">
                  <w:marLeft w:val="0"/>
                  <w:marRight w:val="0"/>
                  <w:marTop w:val="0"/>
                  <w:marBottom w:val="0"/>
                  <w:divBdr>
                    <w:top w:val="none" w:sz="0" w:space="0" w:color="auto"/>
                    <w:left w:val="none" w:sz="0" w:space="0" w:color="auto"/>
                    <w:bottom w:val="none" w:sz="0" w:space="0" w:color="auto"/>
                    <w:right w:val="none" w:sz="0" w:space="0" w:color="auto"/>
                  </w:divBdr>
                </w:div>
                <w:div w:id="56706814">
                  <w:marLeft w:val="0"/>
                  <w:marRight w:val="0"/>
                  <w:marTop w:val="60"/>
                  <w:marBottom w:val="0"/>
                  <w:divBdr>
                    <w:top w:val="none" w:sz="0" w:space="0" w:color="auto"/>
                    <w:left w:val="none" w:sz="0" w:space="0" w:color="auto"/>
                    <w:bottom w:val="none" w:sz="0" w:space="0" w:color="auto"/>
                    <w:right w:val="none" w:sz="0" w:space="0" w:color="auto"/>
                  </w:divBdr>
                </w:div>
                <w:div w:id="379474202">
                  <w:marLeft w:val="0"/>
                  <w:marRight w:val="0"/>
                  <w:marTop w:val="45"/>
                  <w:marBottom w:val="0"/>
                  <w:divBdr>
                    <w:top w:val="none" w:sz="0" w:space="0" w:color="auto"/>
                    <w:left w:val="none" w:sz="0" w:space="0" w:color="auto"/>
                    <w:bottom w:val="none" w:sz="0" w:space="0" w:color="auto"/>
                    <w:right w:val="none" w:sz="0" w:space="0" w:color="auto"/>
                  </w:divBdr>
                </w:div>
              </w:divsChild>
            </w:div>
            <w:div w:id="669262588">
              <w:marLeft w:val="0"/>
              <w:marRight w:val="0"/>
              <w:marTop w:val="180"/>
              <w:marBottom w:val="180"/>
              <w:divBdr>
                <w:top w:val="none" w:sz="0" w:space="0" w:color="auto"/>
                <w:left w:val="none" w:sz="0" w:space="0" w:color="auto"/>
                <w:bottom w:val="none" w:sz="0" w:space="0" w:color="auto"/>
                <w:right w:val="none" w:sz="0" w:space="0" w:color="auto"/>
              </w:divBdr>
              <w:divsChild>
                <w:div w:id="1128356404">
                  <w:marLeft w:val="0"/>
                  <w:marRight w:val="0"/>
                  <w:marTop w:val="0"/>
                  <w:marBottom w:val="0"/>
                  <w:divBdr>
                    <w:top w:val="none" w:sz="0" w:space="0" w:color="auto"/>
                    <w:left w:val="none" w:sz="0" w:space="0" w:color="auto"/>
                    <w:bottom w:val="none" w:sz="0" w:space="0" w:color="auto"/>
                    <w:right w:val="none" w:sz="0" w:space="0" w:color="auto"/>
                  </w:divBdr>
                </w:div>
              </w:divsChild>
            </w:div>
            <w:div w:id="1679236352">
              <w:marLeft w:val="0"/>
              <w:marRight w:val="0"/>
              <w:marTop w:val="0"/>
              <w:marBottom w:val="0"/>
              <w:divBdr>
                <w:top w:val="none" w:sz="0" w:space="0" w:color="auto"/>
                <w:left w:val="none" w:sz="0" w:space="0" w:color="auto"/>
                <w:bottom w:val="none" w:sz="0" w:space="0" w:color="auto"/>
                <w:right w:val="none" w:sz="0" w:space="0" w:color="auto"/>
              </w:divBdr>
              <w:divsChild>
                <w:div w:id="1107001185">
                  <w:marLeft w:val="0"/>
                  <w:marRight w:val="0"/>
                  <w:marTop w:val="0"/>
                  <w:marBottom w:val="0"/>
                  <w:divBdr>
                    <w:top w:val="dotted" w:sz="6" w:space="0" w:color="808080"/>
                    <w:left w:val="none" w:sz="0" w:space="0" w:color="auto"/>
                    <w:bottom w:val="dotted" w:sz="6" w:space="0" w:color="808080"/>
                    <w:right w:val="none" w:sz="0" w:space="0" w:color="auto"/>
                  </w:divBdr>
                </w:div>
              </w:divsChild>
            </w:div>
            <w:div w:id="977031249">
              <w:marLeft w:val="0"/>
              <w:marRight w:val="0"/>
              <w:marTop w:val="180"/>
              <w:marBottom w:val="180"/>
              <w:divBdr>
                <w:top w:val="none" w:sz="0" w:space="0" w:color="auto"/>
                <w:left w:val="none" w:sz="0" w:space="0" w:color="auto"/>
                <w:bottom w:val="none" w:sz="0" w:space="0" w:color="auto"/>
                <w:right w:val="none" w:sz="0" w:space="0" w:color="auto"/>
              </w:divBdr>
              <w:divsChild>
                <w:div w:id="494878996">
                  <w:marLeft w:val="0"/>
                  <w:marRight w:val="0"/>
                  <w:marTop w:val="0"/>
                  <w:marBottom w:val="0"/>
                  <w:divBdr>
                    <w:top w:val="none" w:sz="0" w:space="0" w:color="auto"/>
                    <w:left w:val="none" w:sz="0" w:space="0" w:color="auto"/>
                    <w:bottom w:val="none" w:sz="0" w:space="0" w:color="auto"/>
                    <w:right w:val="none" w:sz="0" w:space="0" w:color="auto"/>
                  </w:divBdr>
                </w:div>
                <w:div w:id="1051802573">
                  <w:marLeft w:val="0"/>
                  <w:marRight w:val="0"/>
                  <w:marTop w:val="0"/>
                  <w:marBottom w:val="0"/>
                  <w:divBdr>
                    <w:top w:val="none" w:sz="0" w:space="0" w:color="auto"/>
                    <w:left w:val="none" w:sz="0" w:space="0" w:color="auto"/>
                    <w:bottom w:val="none" w:sz="0" w:space="0" w:color="auto"/>
                    <w:right w:val="none" w:sz="0" w:space="0" w:color="auto"/>
                  </w:divBdr>
                </w:div>
                <w:div w:id="112488205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696929864">
          <w:marLeft w:val="0"/>
          <w:marRight w:val="0"/>
          <w:marTop w:val="0"/>
          <w:marBottom w:val="0"/>
          <w:divBdr>
            <w:top w:val="none" w:sz="0" w:space="0" w:color="auto"/>
            <w:left w:val="none" w:sz="0" w:space="0" w:color="auto"/>
            <w:bottom w:val="none" w:sz="0" w:space="0" w:color="auto"/>
            <w:right w:val="none" w:sz="0" w:space="0" w:color="auto"/>
          </w:divBdr>
          <w:divsChild>
            <w:div w:id="1877307913">
              <w:marLeft w:val="0"/>
              <w:marRight w:val="0"/>
              <w:marTop w:val="0"/>
              <w:marBottom w:val="0"/>
              <w:divBdr>
                <w:top w:val="dotted" w:sz="6" w:space="0" w:color="808080"/>
                <w:left w:val="none" w:sz="0" w:space="0" w:color="auto"/>
                <w:bottom w:val="dotted" w:sz="6" w:space="0" w:color="808080"/>
                <w:right w:val="none" w:sz="0" w:space="0" w:color="auto"/>
              </w:divBdr>
            </w:div>
          </w:divsChild>
        </w:div>
        <w:div w:id="453443938">
          <w:marLeft w:val="0"/>
          <w:marRight w:val="0"/>
          <w:marTop w:val="0"/>
          <w:marBottom w:val="0"/>
          <w:divBdr>
            <w:top w:val="none" w:sz="0" w:space="0" w:color="auto"/>
            <w:left w:val="none" w:sz="0" w:space="0" w:color="auto"/>
            <w:bottom w:val="none" w:sz="0" w:space="0" w:color="auto"/>
            <w:right w:val="none" w:sz="0" w:space="0" w:color="auto"/>
          </w:divBdr>
          <w:divsChild>
            <w:div w:id="506602710">
              <w:marLeft w:val="0"/>
              <w:marRight w:val="0"/>
              <w:marTop w:val="0"/>
              <w:marBottom w:val="0"/>
              <w:divBdr>
                <w:top w:val="none" w:sz="0" w:space="0" w:color="auto"/>
                <w:left w:val="none" w:sz="0" w:space="0" w:color="auto"/>
                <w:bottom w:val="none" w:sz="0" w:space="0" w:color="auto"/>
                <w:right w:val="none" w:sz="0" w:space="0" w:color="auto"/>
              </w:divBdr>
              <w:divsChild>
                <w:div w:id="93868699">
                  <w:marLeft w:val="0"/>
                  <w:marRight w:val="0"/>
                  <w:marTop w:val="0"/>
                  <w:marBottom w:val="0"/>
                  <w:divBdr>
                    <w:top w:val="dotted" w:sz="6" w:space="0" w:color="808080"/>
                    <w:left w:val="none" w:sz="0" w:space="0" w:color="auto"/>
                    <w:bottom w:val="dotted" w:sz="6" w:space="0" w:color="808080"/>
                    <w:right w:val="none" w:sz="0" w:space="0" w:color="auto"/>
                  </w:divBdr>
                </w:div>
              </w:divsChild>
            </w:div>
          </w:divsChild>
        </w:div>
      </w:divsChild>
    </w:div>
    <w:div w:id="825826624">
      <w:marLeft w:val="0"/>
      <w:marRight w:val="0"/>
      <w:marTop w:val="0"/>
      <w:marBottom w:val="0"/>
      <w:divBdr>
        <w:top w:val="none" w:sz="0" w:space="0" w:color="auto"/>
        <w:left w:val="none" w:sz="0" w:space="0" w:color="auto"/>
        <w:bottom w:val="none" w:sz="0" w:space="0" w:color="auto"/>
        <w:right w:val="none" w:sz="0" w:space="0" w:color="auto"/>
      </w:divBdr>
      <w:divsChild>
        <w:div w:id="425156827">
          <w:marLeft w:val="0"/>
          <w:marRight w:val="0"/>
          <w:marTop w:val="0"/>
          <w:marBottom w:val="0"/>
          <w:divBdr>
            <w:top w:val="none" w:sz="0" w:space="0" w:color="auto"/>
            <w:left w:val="none" w:sz="0" w:space="0" w:color="auto"/>
            <w:bottom w:val="none" w:sz="0" w:space="0" w:color="auto"/>
            <w:right w:val="none" w:sz="0" w:space="0" w:color="auto"/>
          </w:divBdr>
        </w:div>
        <w:div w:id="1391533575">
          <w:marLeft w:val="0"/>
          <w:marRight w:val="0"/>
          <w:marTop w:val="0"/>
          <w:marBottom w:val="0"/>
          <w:divBdr>
            <w:top w:val="none" w:sz="0" w:space="0" w:color="auto"/>
            <w:left w:val="none" w:sz="0" w:space="0" w:color="auto"/>
            <w:bottom w:val="none" w:sz="0" w:space="0" w:color="auto"/>
            <w:right w:val="none" w:sz="0" w:space="0" w:color="auto"/>
          </w:divBdr>
        </w:div>
        <w:div w:id="1893885708">
          <w:marLeft w:val="0"/>
          <w:marRight w:val="0"/>
          <w:marTop w:val="0"/>
          <w:marBottom w:val="0"/>
          <w:divBdr>
            <w:top w:val="none" w:sz="0" w:space="0" w:color="auto"/>
            <w:left w:val="none" w:sz="0" w:space="0" w:color="auto"/>
            <w:bottom w:val="none" w:sz="0" w:space="0" w:color="auto"/>
            <w:right w:val="none" w:sz="0" w:space="0" w:color="auto"/>
          </w:divBdr>
          <w:divsChild>
            <w:div w:id="1566253994">
              <w:marLeft w:val="0"/>
              <w:marRight w:val="0"/>
              <w:marTop w:val="300"/>
              <w:marBottom w:val="300"/>
              <w:divBdr>
                <w:top w:val="none" w:sz="0" w:space="0" w:color="auto"/>
                <w:left w:val="none" w:sz="0" w:space="0" w:color="auto"/>
                <w:bottom w:val="none" w:sz="0" w:space="0" w:color="auto"/>
                <w:right w:val="none" w:sz="0" w:space="0" w:color="auto"/>
              </w:divBdr>
              <w:divsChild>
                <w:div w:id="173695450">
                  <w:marLeft w:val="0"/>
                  <w:marRight w:val="0"/>
                  <w:marTop w:val="0"/>
                  <w:marBottom w:val="0"/>
                  <w:divBdr>
                    <w:top w:val="none" w:sz="0" w:space="0" w:color="auto"/>
                    <w:left w:val="none" w:sz="0" w:space="0" w:color="auto"/>
                    <w:bottom w:val="none" w:sz="0" w:space="0" w:color="auto"/>
                    <w:right w:val="none" w:sz="0" w:space="0" w:color="auto"/>
                  </w:divBdr>
                </w:div>
                <w:div w:id="382405650">
                  <w:marLeft w:val="0"/>
                  <w:marRight w:val="0"/>
                  <w:marTop w:val="60"/>
                  <w:marBottom w:val="0"/>
                  <w:divBdr>
                    <w:top w:val="none" w:sz="0" w:space="0" w:color="auto"/>
                    <w:left w:val="none" w:sz="0" w:space="0" w:color="auto"/>
                    <w:bottom w:val="none" w:sz="0" w:space="0" w:color="auto"/>
                    <w:right w:val="none" w:sz="0" w:space="0" w:color="auto"/>
                  </w:divBdr>
                </w:div>
                <w:div w:id="234441949">
                  <w:marLeft w:val="0"/>
                  <w:marRight w:val="0"/>
                  <w:marTop w:val="45"/>
                  <w:marBottom w:val="0"/>
                  <w:divBdr>
                    <w:top w:val="none" w:sz="0" w:space="0" w:color="auto"/>
                    <w:left w:val="none" w:sz="0" w:space="0" w:color="auto"/>
                    <w:bottom w:val="none" w:sz="0" w:space="0" w:color="auto"/>
                    <w:right w:val="none" w:sz="0" w:space="0" w:color="auto"/>
                  </w:divBdr>
                </w:div>
              </w:divsChild>
            </w:div>
            <w:div w:id="1903714678">
              <w:marLeft w:val="0"/>
              <w:marRight w:val="0"/>
              <w:marTop w:val="180"/>
              <w:marBottom w:val="180"/>
              <w:divBdr>
                <w:top w:val="none" w:sz="0" w:space="0" w:color="auto"/>
                <w:left w:val="none" w:sz="0" w:space="0" w:color="auto"/>
                <w:bottom w:val="none" w:sz="0" w:space="0" w:color="auto"/>
                <w:right w:val="none" w:sz="0" w:space="0" w:color="auto"/>
              </w:divBdr>
              <w:divsChild>
                <w:div w:id="899898924">
                  <w:marLeft w:val="0"/>
                  <w:marRight w:val="0"/>
                  <w:marTop w:val="0"/>
                  <w:marBottom w:val="0"/>
                  <w:divBdr>
                    <w:top w:val="none" w:sz="0" w:space="0" w:color="auto"/>
                    <w:left w:val="none" w:sz="0" w:space="0" w:color="auto"/>
                    <w:bottom w:val="none" w:sz="0" w:space="0" w:color="auto"/>
                    <w:right w:val="none" w:sz="0" w:space="0" w:color="auto"/>
                  </w:divBdr>
                </w:div>
              </w:divsChild>
            </w:div>
            <w:div w:id="401415220">
              <w:marLeft w:val="0"/>
              <w:marRight w:val="0"/>
              <w:marTop w:val="0"/>
              <w:marBottom w:val="0"/>
              <w:divBdr>
                <w:top w:val="none" w:sz="0" w:space="0" w:color="auto"/>
                <w:left w:val="none" w:sz="0" w:space="0" w:color="auto"/>
                <w:bottom w:val="none" w:sz="0" w:space="0" w:color="auto"/>
                <w:right w:val="none" w:sz="0" w:space="0" w:color="auto"/>
              </w:divBdr>
              <w:divsChild>
                <w:div w:id="425611524">
                  <w:marLeft w:val="0"/>
                  <w:marRight w:val="0"/>
                  <w:marTop w:val="0"/>
                  <w:marBottom w:val="0"/>
                  <w:divBdr>
                    <w:top w:val="dotted" w:sz="6" w:space="0" w:color="808080"/>
                    <w:left w:val="none" w:sz="0" w:space="0" w:color="auto"/>
                    <w:bottom w:val="dotted" w:sz="6" w:space="0" w:color="808080"/>
                    <w:right w:val="none" w:sz="0" w:space="0" w:color="auto"/>
                  </w:divBdr>
                </w:div>
              </w:divsChild>
            </w:div>
            <w:div w:id="63187807">
              <w:marLeft w:val="0"/>
              <w:marRight w:val="0"/>
              <w:marTop w:val="180"/>
              <w:marBottom w:val="180"/>
              <w:divBdr>
                <w:top w:val="none" w:sz="0" w:space="0" w:color="auto"/>
                <w:left w:val="none" w:sz="0" w:space="0" w:color="auto"/>
                <w:bottom w:val="none" w:sz="0" w:space="0" w:color="auto"/>
                <w:right w:val="none" w:sz="0" w:space="0" w:color="auto"/>
              </w:divBdr>
              <w:divsChild>
                <w:div w:id="2092047532">
                  <w:marLeft w:val="0"/>
                  <w:marRight w:val="0"/>
                  <w:marTop w:val="0"/>
                  <w:marBottom w:val="0"/>
                  <w:divBdr>
                    <w:top w:val="none" w:sz="0" w:space="0" w:color="auto"/>
                    <w:left w:val="none" w:sz="0" w:space="0" w:color="auto"/>
                    <w:bottom w:val="none" w:sz="0" w:space="0" w:color="auto"/>
                    <w:right w:val="none" w:sz="0" w:space="0" w:color="auto"/>
                  </w:divBdr>
                </w:div>
                <w:div w:id="1945726932">
                  <w:marLeft w:val="0"/>
                  <w:marRight w:val="0"/>
                  <w:marTop w:val="0"/>
                  <w:marBottom w:val="0"/>
                  <w:divBdr>
                    <w:top w:val="none" w:sz="0" w:space="0" w:color="auto"/>
                    <w:left w:val="none" w:sz="0" w:space="0" w:color="auto"/>
                    <w:bottom w:val="none" w:sz="0" w:space="0" w:color="auto"/>
                    <w:right w:val="none" w:sz="0" w:space="0" w:color="auto"/>
                  </w:divBdr>
                </w:div>
                <w:div w:id="118961045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63292716">
          <w:marLeft w:val="0"/>
          <w:marRight w:val="0"/>
          <w:marTop w:val="0"/>
          <w:marBottom w:val="0"/>
          <w:divBdr>
            <w:top w:val="none" w:sz="0" w:space="0" w:color="auto"/>
            <w:left w:val="none" w:sz="0" w:space="0" w:color="auto"/>
            <w:bottom w:val="none" w:sz="0" w:space="0" w:color="auto"/>
            <w:right w:val="none" w:sz="0" w:space="0" w:color="auto"/>
          </w:divBdr>
          <w:divsChild>
            <w:div w:id="1897621278">
              <w:marLeft w:val="0"/>
              <w:marRight w:val="0"/>
              <w:marTop w:val="0"/>
              <w:marBottom w:val="0"/>
              <w:divBdr>
                <w:top w:val="dotted" w:sz="6" w:space="0" w:color="808080"/>
                <w:left w:val="none" w:sz="0" w:space="0" w:color="auto"/>
                <w:bottom w:val="dotted" w:sz="6" w:space="0" w:color="808080"/>
                <w:right w:val="none" w:sz="0" w:space="0" w:color="auto"/>
              </w:divBdr>
            </w:div>
          </w:divsChild>
        </w:div>
        <w:div w:id="1818257740">
          <w:marLeft w:val="0"/>
          <w:marRight w:val="0"/>
          <w:marTop w:val="0"/>
          <w:marBottom w:val="0"/>
          <w:divBdr>
            <w:top w:val="none" w:sz="0" w:space="0" w:color="auto"/>
            <w:left w:val="none" w:sz="0" w:space="0" w:color="auto"/>
            <w:bottom w:val="none" w:sz="0" w:space="0" w:color="auto"/>
            <w:right w:val="none" w:sz="0" w:space="0" w:color="auto"/>
          </w:divBdr>
          <w:divsChild>
            <w:div w:id="555749923">
              <w:marLeft w:val="0"/>
              <w:marRight w:val="0"/>
              <w:marTop w:val="0"/>
              <w:marBottom w:val="0"/>
              <w:divBdr>
                <w:top w:val="none" w:sz="0" w:space="0" w:color="auto"/>
                <w:left w:val="none" w:sz="0" w:space="0" w:color="auto"/>
                <w:bottom w:val="none" w:sz="0" w:space="0" w:color="auto"/>
                <w:right w:val="none" w:sz="0" w:space="0" w:color="auto"/>
              </w:divBdr>
              <w:divsChild>
                <w:div w:id="2110351104">
                  <w:marLeft w:val="0"/>
                  <w:marRight w:val="0"/>
                  <w:marTop w:val="0"/>
                  <w:marBottom w:val="0"/>
                  <w:divBdr>
                    <w:top w:val="dotted" w:sz="6" w:space="0" w:color="808080"/>
                    <w:left w:val="none" w:sz="0" w:space="0" w:color="auto"/>
                    <w:bottom w:val="dotted" w:sz="6" w:space="0" w:color="808080"/>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hutterstoc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5576</Words>
  <Characters>31785</Characters>
  <Application>Microsoft Office Word</Application>
  <DocSecurity>0</DocSecurity>
  <Lines>264</Lines>
  <Paragraphs>74</Paragraphs>
  <ScaleCrop>false</ScaleCrop>
  <Company/>
  <LinksUpToDate>false</LinksUpToDate>
  <CharactersWithSpaces>37287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2</cp:revision>
  <dcterms:created xsi:type="dcterms:W3CDTF">2017-11-13T20:46:00Z</dcterms:created>
  <dcterms:modified xsi:type="dcterms:W3CDTF">2017-11-13T20:46:00Z</dcterms:modified>
</cp:coreProperties>
</file>